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4503" w14:textId="171933D3" w:rsidR="009E19E5" w:rsidRDefault="009E19E5">
      <w:pPr>
        <w:rPr>
          <w:b/>
          <w:bCs/>
          <w:u w:val="double"/>
        </w:rPr>
      </w:pPr>
      <w:r w:rsidRPr="009E19E5">
        <w:rPr>
          <w:b/>
          <w:bCs/>
          <w:u w:val="double"/>
        </w:rPr>
        <w:t xml:space="preserve">Προτεινόμενα θέματα διδακτορικών διατριβών για το </w:t>
      </w:r>
      <w:r w:rsidR="00704F32">
        <w:rPr>
          <w:b/>
          <w:bCs/>
          <w:u w:val="double"/>
        </w:rPr>
        <w:t>εαρινό</w:t>
      </w:r>
      <w:r w:rsidRPr="009E19E5">
        <w:rPr>
          <w:b/>
          <w:bCs/>
          <w:u w:val="double"/>
        </w:rPr>
        <w:t xml:space="preserve"> εξάμηνο 202</w:t>
      </w:r>
      <w:r w:rsidR="00704F32">
        <w:rPr>
          <w:b/>
          <w:bCs/>
          <w:u w:val="double"/>
        </w:rPr>
        <w:t>4</w:t>
      </w:r>
      <w:r w:rsidRPr="009E19E5">
        <w:rPr>
          <w:b/>
          <w:bCs/>
          <w:u w:val="double"/>
        </w:rPr>
        <w:t>-202</w:t>
      </w:r>
      <w:r w:rsidR="00704F32">
        <w:rPr>
          <w:b/>
          <w:bCs/>
          <w:u w:val="double"/>
        </w:rPr>
        <w:t>5</w:t>
      </w:r>
    </w:p>
    <w:p w14:paraId="1D483883" w14:textId="76ACCE41" w:rsidR="005808A4" w:rsidRDefault="005808A4">
      <w:pPr>
        <w:rPr>
          <w:b/>
          <w:bCs/>
          <w:u w:val="double"/>
        </w:rPr>
      </w:pPr>
    </w:p>
    <w:tbl>
      <w:tblPr>
        <w:tblpPr w:leftFromText="180" w:rightFromText="180" w:vertAnchor="text" w:tblpX="-1457" w:tblpY="1"/>
        <w:tblOverlap w:val="never"/>
        <w:tblW w:w="6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9"/>
        <w:gridCol w:w="3257"/>
        <w:gridCol w:w="2024"/>
        <w:gridCol w:w="2125"/>
      </w:tblGrid>
      <w:tr w:rsidR="00082096" w:rsidRPr="005808A4" w14:paraId="66BB7E6D" w14:textId="77777777" w:rsidTr="000A3E5C">
        <w:trPr>
          <w:trHeight w:val="255"/>
        </w:trPr>
        <w:tc>
          <w:tcPr>
            <w:tcW w:w="755" w:type="pct"/>
            <w:vAlign w:val="center"/>
          </w:tcPr>
          <w:p w14:paraId="4F4A5141" w14:textId="3DB0432E" w:rsidR="00082096" w:rsidRPr="005808A4" w:rsidRDefault="00082096" w:rsidP="00082096">
            <w:pPr>
              <w:rPr>
                <w:rFonts w:cstheme="minorHAnsi"/>
                <w:b/>
                <w:bCs/>
                <w:sz w:val="20"/>
                <w:szCs w:val="20"/>
              </w:rPr>
            </w:pPr>
            <w:proofErr w:type="spellStart"/>
            <w:r>
              <w:rPr>
                <w:rFonts w:cstheme="minorHAnsi"/>
                <w:b/>
                <w:bCs/>
                <w:sz w:val="20"/>
                <w:szCs w:val="20"/>
              </w:rPr>
              <w:t>Δελιάς</w:t>
            </w:r>
            <w:proofErr w:type="spellEnd"/>
            <w:r>
              <w:rPr>
                <w:rFonts w:cstheme="minorHAnsi"/>
                <w:b/>
                <w:bCs/>
                <w:sz w:val="20"/>
                <w:szCs w:val="20"/>
              </w:rPr>
              <w:t xml:space="preserve"> Παύλος</w:t>
            </w:r>
          </w:p>
        </w:tc>
        <w:tc>
          <w:tcPr>
            <w:tcW w:w="948" w:type="pct"/>
          </w:tcPr>
          <w:p w14:paraId="4F92C82E" w14:textId="77777777" w:rsidR="00082096" w:rsidRPr="00082096" w:rsidRDefault="00082096" w:rsidP="00082096">
            <w:pPr>
              <w:rPr>
                <w:rFonts w:cstheme="minorHAnsi"/>
                <w:sz w:val="20"/>
                <w:szCs w:val="20"/>
              </w:rPr>
            </w:pPr>
            <w:r w:rsidRPr="00082096">
              <w:rPr>
                <w:rFonts w:cstheme="minorHAnsi"/>
                <w:sz w:val="20"/>
                <w:szCs w:val="20"/>
              </w:rPr>
              <w:t xml:space="preserve">Διαρκής Προσαρμοστικότητα Πολύπλοκων Συστημάτων με </w:t>
            </w:r>
            <w:proofErr w:type="spellStart"/>
            <w:r w:rsidRPr="00082096">
              <w:rPr>
                <w:rFonts w:cstheme="minorHAnsi"/>
                <w:sz w:val="20"/>
                <w:szCs w:val="20"/>
              </w:rPr>
              <w:t>Διαδικασιοστραφείς</w:t>
            </w:r>
            <w:proofErr w:type="spellEnd"/>
            <w:r w:rsidRPr="00082096">
              <w:rPr>
                <w:rFonts w:cstheme="minorHAnsi"/>
                <w:sz w:val="20"/>
                <w:szCs w:val="20"/>
              </w:rPr>
              <w:t xml:space="preserve"> Προσεγγίσεις</w:t>
            </w:r>
          </w:p>
          <w:p w14:paraId="4D165C36" w14:textId="77777777" w:rsidR="00082096" w:rsidRPr="00082096" w:rsidRDefault="00082096" w:rsidP="00082096">
            <w:pPr>
              <w:rPr>
                <w:rFonts w:cstheme="minorHAnsi"/>
                <w:sz w:val="20"/>
                <w:szCs w:val="20"/>
              </w:rPr>
            </w:pPr>
          </w:p>
          <w:p w14:paraId="711C1D40" w14:textId="6DDC52BD" w:rsidR="00082096" w:rsidRPr="00082096" w:rsidRDefault="00082096" w:rsidP="00082096">
            <w:pPr>
              <w:rPr>
                <w:rFonts w:cstheme="minorHAnsi"/>
                <w:b/>
                <w:sz w:val="20"/>
                <w:szCs w:val="20"/>
                <w:lang w:val="en-US"/>
              </w:rPr>
            </w:pPr>
            <w:r w:rsidRPr="00082096">
              <w:rPr>
                <w:rFonts w:cstheme="minorHAnsi"/>
                <w:sz w:val="20"/>
                <w:szCs w:val="20"/>
                <w:lang w:val="en-US"/>
              </w:rPr>
              <w:t>Sustained Adaptability of Complex Systems with Process-Oriented Approaches</w:t>
            </w:r>
          </w:p>
        </w:tc>
        <w:tc>
          <w:tcPr>
            <w:tcW w:w="1450" w:type="pct"/>
          </w:tcPr>
          <w:p w14:paraId="385F15AC" w14:textId="77777777" w:rsidR="00082096" w:rsidRPr="00082096" w:rsidRDefault="00082096" w:rsidP="00082096">
            <w:pPr>
              <w:jc w:val="both"/>
              <w:rPr>
                <w:rFonts w:cstheme="minorHAnsi"/>
                <w:sz w:val="20"/>
                <w:szCs w:val="20"/>
              </w:rPr>
            </w:pPr>
            <w:r w:rsidRPr="00082096">
              <w:rPr>
                <w:rFonts w:cstheme="minorHAnsi"/>
                <w:sz w:val="20"/>
                <w:szCs w:val="20"/>
              </w:rPr>
              <w:t>Η προτεινόμενη διδακτορική έρευνα έχει ως στόχο να διερευνήσει νέες προσεγγίσεις για τη διατήρηση της προσαρμοστικότητας σύνθετων συστημάτων, αξιοποιώντας τεχνικές προσανατολισμένες στις διαδικασίες. Η βασική εστίαση θα είναι στην ανάπτυξη προηγμένων μεθοδολογιών Εξόρυξης Διαδικασιών που επιτρέπουν την ανακάλυψη αιτιωδών σχέσεων, την εξαγωγή συμπερασμάτων και την ανάλυση ανθεκτικότητας στο πλαίσιο της διατηρήσιμης προσαρμοστικότητας. Η έρευνα θα εξετάσει τη σχέση μεταξύ Εξόρυξης Διαδικασιών και προσαρμοστικών ικανοτήτων, διερευνώντας τον τρόπο με τον οποίο η Εξόρυξη Διαδικασιών μπορεί να ενισχύσει την ικανότητα σύνθετων συστημάτων να βελτιστοποιούν δυναμικά τις διαδικασίες τους και να ανταποκρίνονται αποτελεσματικά σε μεταβαλλόμενες συνθήκες.</w:t>
            </w:r>
          </w:p>
          <w:p w14:paraId="32CF2873" w14:textId="77777777" w:rsidR="00082096" w:rsidRPr="00082096" w:rsidRDefault="00082096" w:rsidP="00082096">
            <w:pPr>
              <w:jc w:val="both"/>
              <w:rPr>
                <w:rFonts w:cstheme="minorHAnsi"/>
                <w:sz w:val="20"/>
                <w:szCs w:val="20"/>
              </w:rPr>
            </w:pPr>
          </w:p>
          <w:p w14:paraId="5E9B1D01" w14:textId="504F89C2" w:rsidR="00082096" w:rsidRPr="00082096" w:rsidRDefault="00082096" w:rsidP="00082096">
            <w:pPr>
              <w:rPr>
                <w:rFonts w:cstheme="minorHAnsi"/>
                <w:sz w:val="20"/>
                <w:szCs w:val="20"/>
              </w:rPr>
            </w:pPr>
            <w:r w:rsidRPr="00082096">
              <w:rPr>
                <w:rFonts w:cstheme="minorHAnsi"/>
                <w:i/>
                <w:sz w:val="20"/>
                <w:szCs w:val="20"/>
              </w:rPr>
              <w:t>Εξόρυξη Διαδικασιών, οικονομετρία, Επιχειρηματική Αναλυτική</w:t>
            </w:r>
          </w:p>
        </w:tc>
        <w:tc>
          <w:tcPr>
            <w:tcW w:w="901" w:type="pct"/>
          </w:tcPr>
          <w:p w14:paraId="1664CA58" w14:textId="77777777" w:rsidR="00082096" w:rsidRPr="00082096" w:rsidRDefault="00082096" w:rsidP="00082096">
            <w:pPr>
              <w:numPr>
                <w:ilvl w:val="0"/>
                <w:numId w:val="1"/>
              </w:numPr>
              <w:spacing w:after="0" w:line="240" w:lineRule="auto"/>
              <w:ind w:left="184" w:hanging="184"/>
              <w:rPr>
                <w:rFonts w:cstheme="minorHAnsi"/>
                <w:sz w:val="20"/>
                <w:szCs w:val="20"/>
              </w:rPr>
            </w:pPr>
            <w:r w:rsidRPr="00082096">
              <w:rPr>
                <w:rFonts w:cstheme="minorHAnsi"/>
                <w:sz w:val="20"/>
                <w:szCs w:val="20"/>
              </w:rPr>
              <w:t>Ανάπτυξη τεχνικών εξόρυξης διαδικασιών, με έμφαση στην ανακάλυψη αιτίων.</w:t>
            </w:r>
          </w:p>
          <w:p w14:paraId="33B356E7" w14:textId="77777777" w:rsidR="00082096" w:rsidRPr="00082096" w:rsidRDefault="00082096" w:rsidP="00082096">
            <w:pPr>
              <w:numPr>
                <w:ilvl w:val="0"/>
                <w:numId w:val="1"/>
              </w:numPr>
              <w:spacing w:after="0" w:line="240" w:lineRule="auto"/>
              <w:ind w:left="184" w:hanging="184"/>
              <w:rPr>
                <w:rFonts w:cstheme="minorHAnsi"/>
                <w:sz w:val="20"/>
                <w:szCs w:val="20"/>
              </w:rPr>
            </w:pPr>
            <w:r w:rsidRPr="00082096">
              <w:rPr>
                <w:rFonts w:cstheme="minorHAnsi"/>
                <w:sz w:val="20"/>
                <w:szCs w:val="20"/>
              </w:rPr>
              <w:t>Διερεύνηση ρόλου εξόρυξης Διαδικασιών στην ενίσχυση προσαρμοστικότητας, μέσω βελτιστοποίησης και ανταπόκρισης σε αλλαγές.</w:t>
            </w:r>
          </w:p>
          <w:p w14:paraId="7FB499D5" w14:textId="0219B9F5" w:rsidR="00082096" w:rsidRPr="00082096"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082096">
              <w:rPr>
                <w:rFonts w:asciiTheme="minorHAnsi" w:hAnsiTheme="minorHAnsi" w:cstheme="minorHAnsi"/>
                <w:sz w:val="20"/>
                <w:szCs w:val="20"/>
                <w:lang w:val="el-GR"/>
              </w:rPr>
              <w:t>Εφαρμογή τεχνικών και πλαισίων σε πραγματικά συστήματα για λήψη αποφάσεων βάσει δεδομένων.</w:t>
            </w:r>
          </w:p>
        </w:tc>
        <w:tc>
          <w:tcPr>
            <w:tcW w:w="946" w:type="pct"/>
          </w:tcPr>
          <w:p w14:paraId="2FFF9DE8" w14:textId="77777777" w:rsidR="00082096" w:rsidRPr="000A3E5C" w:rsidRDefault="00082096" w:rsidP="00082096">
            <w:pPr>
              <w:rPr>
                <w:rFonts w:cstheme="minorHAnsi"/>
                <w:sz w:val="20"/>
                <w:szCs w:val="20"/>
              </w:rPr>
            </w:pPr>
            <w:r w:rsidRPr="000A3E5C">
              <w:rPr>
                <w:rFonts w:cstheme="minorHAnsi"/>
                <w:sz w:val="20"/>
                <w:szCs w:val="20"/>
              </w:rPr>
              <w:t>Προηγούμενη γνώση ή επιθυμία για μάθηση:</w:t>
            </w:r>
          </w:p>
          <w:p w14:paraId="7C59A612" w14:textId="77777777" w:rsidR="00082096" w:rsidRPr="000A3E5C" w:rsidRDefault="00082096" w:rsidP="00082096">
            <w:pPr>
              <w:numPr>
                <w:ilvl w:val="0"/>
                <w:numId w:val="2"/>
              </w:numPr>
              <w:spacing w:after="0" w:line="240" w:lineRule="auto"/>
              <w:rPr>
                <w:rFonts w:cstheme="minorHAnsi"/>
                <w:sz w:val="20"/>
                <w:szCs w:val="20"/>
              </w:rPr>
            </w:pPr>
            <w:r w:rsidRPr="000A3E5C">
              <w:rPr>
                <w:rFonts w:cstheme="minorHAnsi"/>
                <w:sz w:val="20"/>
                <w:szCs w:val="20"/>
              </w:rPr>
              <w:t xml:space="preserve">Προηγμένη στατιστική </w:t>
            </w:r>
          </w:p>
          <w:p w14:paraId="1644FAC0" w14:textId="77777777" w:rsidR="00082096" w:rsidRPr="000A3E5C" w:rsidRDefault="00082096" w:rsidP="00082096">
            <w:pPr>
              <w:numPr>
                <w:ilvl w:val="0"/>
                <w:numId w:val="2"/>
              </w:numPr>
              <w:spacing w:after="0" w:line="240" w:lineRule="auto"/>
              <w:rPr>
                <w:rFonts w:cstheme="minorHAnsi"/>
                <w:sz w:val="20"/>
                <w:szCs w:val="20"/>
              </w:rPr>
            </w:pPr>
            <w:proofErr w:type="spellStart"/>
            <w:r w:rsidRPr="000A3E5C">
              <w:rPr>
                <w:rFonts w:cstheme="minorHAnsi"/>
                <w:sz w:val="20"/>
                <w:szCs w:val="20"/>
              </w:rPr>
              <w:t>Process</w:t>
            </w:r>
            <w:proofErr w:type="spellEnd"/>
            <w:r w:rsidRPr="000A3E5C">
              <w:rPr>
                <w:rFonts w:cstheme="minorHAnsi"/>
                <w:sz w:val="20"/>
                <w:szCs w:val="20"/>
              </w:rPr>
              <w:t xml:space="preserve"> Mining</w:t>
            </w:r>
          </w:p>
          <w:p w14:paraId="4E7E84DA" w14:textId="77777777" w:rsidR="00082096" w:rsidRPr="003542A8" w:rsidRDefault="00082096" w:rsidP="00082096">
            <w:pPr>
              <w:spacing w:after="100" w:afterAutospacing="1"/>
              <w:ind w:left="33" w:hanging="33"/>
              <w:rPr>
                <w:rFonts w:cstheme="minorHAnsi"/>
                <w:sz w:val="20"/>
                <w:szCs w:val="20"/>
              </w:rPr>
            </w:pPr>
          </w:p>
        </w:tc>
      </w:tr>
      <w:tr w:rsidR="00082096" w:rsidRPr="005808A4" w14:paraId="1DBB7987" w14:textId="77777777" w:rsidTr="000A3E5C">
        <w:trPr>
          <w:trHeight w:val="255"/>
        </w:trPr>
        <w:tc>
          <w:tcPr>
            <w:tcW w:w="755" w:type="pct"/>
            <w:vAlign w:val="center"/>
          </w:tcPr>
          <w:p w14:paraId="3E15E9D3" w14:textId="52C0E08A" w:rsidR="00082096" w:rsidRDefault="00082096" w:rsidP="00082096">
            <w:pPr>
              <w:rPr>
                <w:rFonts w:cstheme="minorHAnsi"/>
                <w:b/>
                <w:bCs/>
                <w:sz w:val="20"/>
                <w:szCs w:val="20"/>
              </w:rPr>
            </w:pPr>
            <w:r>
              <w:rPr>
                <w:rFonts w:cstheme="minorHAnsi"/>
                <w:b/>
                <w:bCs/>
                <w:sz w:val="20"/>
                <w:szCs w:val="20"/>
              </w:rPr>
              <w:t>Δελιάς Παύλος</w:t>
            </w:r>
          </w:p>
        </w:tc>
        <w:tc>
          <w:tcPr>
            <w:tcW w:w="948" w:type="pct"/>
          </w:tcPr>
          <w:p w14:paraId="6F54551D" w14:textId="77777777" w:rsidR="00082096" w:rsidRPr="00082096" w:rsidRDefault="00082096" w:rsidP="00082096">
            <w:pPr>
              <w:rPr>
                <w:rFonts w:cstheme="minorHAnsi"/>
                <w:sz w:val="20"/>
                <w:szCs w:val="20"/>
              </w:rPr>
            </w:pPr>
            <w:r w:rsidRPr="00082096">
              <w:rPr>
                <w:rFonts w:cstheme="minorHAnsi"/>
                <w:sz w:val="20"/>
                <w:szCs w:val="20"/>
              </w:rPr>
              <w:t>Κατανόηση και Πρόληψη της Απώλειας Τροφίμων στις Εφοδιαστικές Αλυσίδες</w:t>
            </w:r>
          </w:p>
          <w:p w14:paraId="115230AD" w14:textId="77777777" w:rsidR="00082096" w:rsidRPr="00082096" w:rsidRDefault="00082096" w:rsidP="00082096">
            <w:pPr>
              <w:rPr>
                <w:rFonts w:cstheme="minorHAnsi"/>
                <w:sz w:val="20"/>
                <w:szCs w:val="20"/>
              </w:rPr>
            </w:pPr>
          </w:p>
          <w:p w14:paraId="69B81180" w14:textId="19220922" w:rsidR="00082096" w:rsidRPr="00082096" w:rsidRDefault="00082096" w:rsidP="00082096">
            <w:pPr>
              <w:rPr>
                <w:rFonts w:cstheme="minorHAnsi"/>
                <w:b/>
                <w:sz w:val="20"/>
                <w:szCs w:val="20"/>
                <w:lang w:val="en-US"/>
              </w:rPr>
            </w:pPr>
            <w:r w:rsidRPr="00082096">
              <w:rPr>
                <w:rFonts w:cstheme="minorHAnsi"/>
                <w:sz w:val="20"/>
                <w:szCs w:val="20"/>
                <w:lang w:val="en-US"/>
              </w:rPr>
              <w:t>Understanding and Preventing Food Loss in Supply Chains</w:t>
            </w:r>
          </w:p>
        </w:tc>
        <w:tc>
          <w:tcPr>
            <w:tcW w:w="1450" w:type="pct"/>
          </w:tcPr>
          <w:p w14:paraId="49C51E3D" w14:textId="77777777" w:rsidR="00082096" w:rsidRPr="00082096" w:rsidRDefault="00082096" w:rsidP="00082096">
            <w:pPr>
              <w:jc w:val="both"/>
              <w:rPr>
                <w:rFonts w:cstheme="minorHAnsi"/>
                <w:sz w:val="20"/>
                <w:szCs w:val="20"/>
              </w:rPr>
            </w:pPr>
            <w:r w:rsidRPr="00082096">
              <w:rPr>
                <w:rFonts w:cstheme="minorHAnsi"/>
                <w:sz w:val="20"/>
                <w:szCs w:val="20"/>
              </w:rPr>
              <w:t xml:space="preserve">Η έρευνα στοχεύει στην κατανόηση των μηχανισμών απώλειας τροφίμων και στην αξιολόγηση στρατηγικών πρόληψης σε εφοδιαστικές αλυσίδες. Μέσω του συνδυασμού δευτερογενών δεδομένων και της δομημένης γνώσης εμπειρογνωμόνων, η έρευνα θα αναπτύξει ένα πλαίσιο </w:t>
            </w:r>
            <w:proofErr w:type="spellStart"/>
            <w:r w:rsidRPr="00082096">
              <w:rPr>
                <w:rFonts w:cstheme="minorHAnsi"/>
                <w:sz w:val="20"/>
                <w:szCs w:val="20"/>
              </w:rPr>
              <w:t>πολυκριτήριας</w:t>
            </w:r>
            <w:proofErr w:type="spellEnd"/>
            <w:r w:rsidRPr="00082096">
              <w:rPr>
                <w:rFonts w:cstheme="minorHAnsi"/>
                <w:sz w:val="20"/>
                <w:szCs w:val="20"/>
              </w:rPr>
              <w:t xml:space="preserve"> ανάλυσης για την κατανόηση των αιτιών απώλειας και την αξιολόγηση στρατηγικών πρόληψης.</w:t>
            </w:r>
          </w:p>
          <w:p w14:paraId="2A25EF8A" w14:textId="77777777" w:rsidR="00082096" w:rsidRPr="00082096" w:rsidRDefault="00082096" w:rsidP="00082096">
            <w:pPr>
              <w:rPr>
                <w:rFonts w:cstheme="minorHAnsi"/>
                <w:sz w:val="20"/>
                <w:szCs w:val="20"/>
              </w:rPr>
            </w:pPr>
          </w:p>
          <w:p w14:paraId="55845123" w14:textId="0C6351C2" w:rsidR="00082096" w:rsidRPr="00082096" w:rsidRDefault="00082096" w:rsidP="00082096">
            <w:pPr>
              <w:rPr>
                <w:rFonts w:cstheme="minorHAnsi"/>
                <w:sz w:val="20"/>
                <w:szCs w:val="20"/>
              </w:rPr>
            </w:pPr>
            <w:proofErr w:type="spellStart"/>
            <w:r w:rsidRPr="00082096">
              <w:rPr>
                <w:rFonts w:cstheme="minorHAnsi"/>
                <w:i/>
                <w:sz w:val="20"/>
                <w:szCs w:val="20"/>
              </w:rPr>
              <w:t>Πολυκριτηριακή</w:t>
            </w:r>
            <w:proofErr w:type="spellEnd"/>
            <w:r w:rsidRPr="00082096">
              <w:rPr>
                <w:rFonts w:cstheme="minorHAnsi"/>
                <w:i/>
                <w:sz w:val="20"/>
                <w:szCs w:val="20"/>
              </w:rPr>
              <w:t xml:space="preserve"> Ανάλυση, Αιτιώδης </w:t>
            </w:r>
            <w:proofErr w:type="spellStart"/>
            <w:r w:rsidRPr="00082096">
              <w:rPr>
                <w:rFonts w:cstheme="minorHAnsi"/>
                <w:i/>
                <w:sz w:val="20"/>
                <w:szCs w:val="20"/>
              </w:rPr>
              <w:t>Συμπερασματολογία</w:t>
            </w:r>
            <w:proofErr w:type="spellEnd"/>
            <w:r w:rsidRPr="00082096">
              <w:rPr>
                <w:rFonts w:cstheme="minorHAnsi"/>
                <w:i/>
                <w:sz w:val="20"/>
                <w:szCs w:val="20"/>
              </w:rPr>
              <w:t>,  Επιχειρηματική Αναλυτική, Αλυσίδες τροφίμων</w:t>
            </w:r>
          </w:p>
        </w:tc>
        <w:tc>
          <w:tcPr>
            <w:tcW w:w="901" w:type="pct"/>
          </w:tcPr>
          <w:p w14:paraId="59444409" w14:textId="77777777" w:rsidR="00082096" w:rsidRPr="00082096" w:rsidRDefault="00082096" w:rsidP="00082096">
            <w:pPr>
              <w:numPr>
                <w:ilvl w:val="0"/>
                <w:numId w:val="1"/>
              </w:numPr>
              <w:spacing w:after="0" w:line="240" w:lineRule="auto"/>
              <w:ind w:left="184" w:hanging="184"/>
              <w:rPr>
                <w:rFonts w:cstheme="minorHAnsi"/>
                <w:sz w:val="20"/>
                <w:szCs w:val="20"/>
              </w:rPr>
            </w:pPr>
            <w:r w:rsidRPr="00082096">
              <w:rPr>
                <w:rFonts w:cstheme="minorHAnsi"/>
                <w:sz w:val="20"/>
                <w:szCs w:val="20"/>
              </w:rPr>
              <w:t xml:space="preserve">  Χαρτογράφηση και ανάλυση των κρίσιμων σημείων απώλειας τροφίμων στην εφοδιαστική αλυσίδα μέσω δευτερογενών δεδομένων και επικύρωση από </w:t>
            </w:r>
            <w:proofErr w:type="spellStart"/>
            <w:r w:rsidRPr="00082096">
              <w:rPr>
                <w:rFonts w:cstheme="minorHAnsi"/>
                <w:sz w:val="20"/>
                <w:szCs w:val="20"/>
              </w:rPr>
              <w:t>panel</w:t>
            </w:r>
            <w:proofErr w:type="spellEnd"/>
            <w:r w:rsidRPr="00082096">
              <w:rPr>
                <w:rFonts w:cstheme="minorHAnsi"/>
                <w:sz w:val="20"/>
                <w:szCs w:val="20"/>
              </w:rPr>
              <w:t xml:space="preserve"> εμπειρογνωμόνων</w:t>
            </w:r>
          </w:p>
          <w:p w14:paraId="50298C4C" w14:textId="2AF2EED4" w:rsidR="00082096" w:rsidRPr="00082096"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proofErr w:type="gramStart"/>
            <w:r w:rsidRPr="00082096">
              <w:rPr>
                <w:rFonts w:asciiTheme="minorHAnsi" w:hAnsiTheme="minorHAnsi" w:cstheme="minorHAnsi"/>
                <w:sz w:val="20"/>
                <w:szCs w:val="20"/>
              </w:rPr>
              <w:t></w:t>
            </w:r>
            <w:r w:rsidRPr="00082096">
              <w:rPr>
                <w:rFonts w:asciiTheme="minorHAnsi" w:hAnsiTheme="minorHAnsi" w:cstheme="minorHAnsi"/>
                <w:sz w:val="20"/>
                <w:szCs w:val="20"/>
                <w:lang w:val="el-GR"/>
              </w:rPr>
              <w:t xml:space="preserve">  Ανάπτυξη</w:t>
            </w:r>
            <w:proofErr w:type="gramEnd"/>
            <w:r w:rsidRPr="00082096">
              <w:rPr>
                <w:rFonts w:asciiTheme="minorHAnsi" w:hAnsiTheme="minorHAnsi" w:cstheme="minorHAnsi"/>
                <w:sz w:val="20"/>
                <w:szCs w:val="20"/>
                <w:lang w:val="el-GR"/>
              </w:rPr>
              <w:t xml:space="preserve"> </w:t>
            </w:r>
            <w:proofErr w:type="spellStart"/>
            <w:r w:rsidRPr="00082096">
              <w:rPr>
                <w:rFonts w:asciiTheme="minorHAnsi" w:hAnsiTheme="minorHAnsi" w:cstheme="minorHAnsi"/>
                <w:sz w:val="20"/>
                <w:szCs w:val="20"/>
                <w:lang w:val="el-GR"/>
              </w:rPr>
              <w:t>πολυκριτήριου</w:t>
            </w:r>
            <w:proofErr w:type="spellEnd"/>
            <w:r w:rsidRPr="00082096">
              <w:rPr>
                <w:rFonts w:asciiTheme="minorHAnsi" w:hAnsiTheme="minorHAnsi" w:cstheme="minorHAnsi"/>
                <w:sz w:val="20"/>
                <w:szCs w:val="20"/>
                <w:lang w:val="el-GR"/>
              </w:rPr>
              <w:t xml:space="preserve"> πλαισίου αξιολόγησης στρατηγικών πρόληψης με τη συμμετοχή ειδικών του χώρου</w:t>
            </w:r>
          </w:p>
        </w:tc>
        <w:tc>
          <w:tcPr>
            <w:tcW w:w="946" w:type="pct"/>
          </w:tcPr>
          <w:p w14:paraId="44C10186" w14:textId="77777777" w:rsidR="00082096" w:rsidRPr="000A3E5C" w:rsidRDefault="00082096" w:rsidP="00082096">
            <w:pPr>
              <w:rPr>
                <w:rFonts w:cstheme="minorHAnsi"/>
                <w:sz w:val="20"/>
                <w:szCs w:val="20"/>
              </w:rPr>
            </w:pPr>
            <w:r w:rsidRPr="000A3E5C">
              <w:rPr>
                <w:rFonts w:cstheme="minorHAnsi"/>
                <w:sz w:val="20"/>
                <w:szCs w:val="20"/>
              </w:rPr>
              <w:t>Προηγούμενη γνώση ή επιθυμία για μάθηση:</w:t>
            </w:r>
          </w:p>
          <w:p w14:paraId="3B644899" w14:textId="77777777" w:rsidR="00082096" w:rsidRPr="000A3E5C" w:rsidRDefault="00082096" w:rsidP="00082096">
            <w:pPr>
              <w:numPr>
                <w:ilvl w:val="0"/>
                <w:numId w:val="2"/>
              </w:numPr>
              <w:spacing w:after="0" w:line="240" w:lineRule="auto"/>
              <w:rPr>
                <w:rFonts w:cstheme="minorHAnsi"/>
                <w:sz w:val="20"/>
                <w:szCs w:val="20"/>
              </w:rPr>
            </w:pPr>
            <w:r w:rsidRPr="000A3E5C">
              <w:rPr>
                <w:rFonts w:cstheme="minorHAnsi"/>
                <w:sz w:val="20"/>
                <w:szCs w:val="20"/>
              </w:rPr>
              <w:t>MCDA</w:t>
            </w:r>
          </w:p>
          <w:p w14:paraId="1141E409" w14:textId="77777777" w:rsidR="00082096" w:rsidRPr="000A3E5C" w:rsidRDefault="00082096" w:rsidP="00082096">
            <w:pPr>
              <w:numPr>
                <w:ilvl w:val="0"/>
                <w:numId w:val="2"/>
              </w:numPr>
              <w:spacing w:after="0" w:line="240" w:lineRule="auto"/>
              <w:rPr>
                <w:rFonts w:cstheme="minorHAnsi"/>
                <w:sz w:val="20"/>
                <w:szCs w:val="20"/>
              </w:rPr>
            </w:pPr>
            <w:r w:rsidRPr="000A3E5C">
              <w:rPr>
                <w:rFonts w:cstheme="minorHAnsi"/>
                <w:sz w:val="20"/>
                <w:szCs w:val="20"/>
              </w:rPr>
              <w:t>Στατιστική</w:t>
            </w:r>
          </w:p>
          <w:p w14:paraId="64F81E9E" w14:textId="77777777" w:rsidR="00082096" w:rsidRPr="003542A8" w:rsidRDefault="00082096" w:rsidP="00082096">
            <w:pPr>
              <w:spacing w:after="100" w:afterAutospacing="1"/>
              <w:ind w:left="33" w:hanging="33"/>
              <w:rPr>
                <w:rFonts w:cstheme="minorHAnsi"/>
                <w:sz w:val="20"/>
                <w:szCs w:val="20"/>
              </w:rPr>
            </w:pPr>
          </w:p>
        </w:tc>
      </w:tr>
      <w:tr w:rsidR="00082096" w:rsidRPr="005808A4" w14:paraId="005436AB" w14:textId="77777777" w:rsidTr="000A3E5C">
        <w:trPr>
          <w:trHeight w:val="255"/>
        </w:trPr>
        <w:tc>
          <w:tcPr>
            <w:tcW w:w="755" w:type="pct"/>
            <w:vAlign w:val="center"/>
          </w:tcPr>
          <w:p w14:paraId="37960A2D" w14:textId="117C6871" w:rsidR="00082096" w:rsidRPr="005808A4" w:rsidRDefault="00082096" w:rsidP="00082096">
            <w:pPr>
              <w:rPr>
                <w:rFonts w:cstheme="minorHAnsi"/>
                <w:b/>
                <w:bCs/>
                <w:sz w:val="20"/>
                <w:szCs w:val="20"/>
              </w:rPr>
            </w:pPr>
            <w:r w:rsidRPr="005808A4">
              <w:rPr>
                <w:rFonts w:cstheme="minorHAnsi"/>
                <w:b/>
                <w:bCs/>
                <w:sz w:val="20"/>
                <w:szCs w:val="20"/>
              </w:rPr>
              <w:lastRenderedPageBreak/>
              <w:t>Καρασαββόγλου Αναστάσιος</w:t>
            </w:r>
          </w:p>
        </w:tc>
        <w:tc>
          <w:tcPr>
            <w:tcW w:w="948" w:type="pct"/>
          </w:tcPr>
          <w:p w14:paraId="38BE82F3" w14:textId="1D5436FB" w:rsidR="00082096" w:rsidRPr="003542A8" w:rsidRDefault="00082096" w:rsidP="00082096">
            <w:pPr>
              <w:rPr>
                <w:rFonts w:cstheme="minorHAnsi"/>
                <w:b/>
                <w:bCs/>
                <w:color w:val="000000"/>
                <w:sz w:val="20"/>
                <w:szCs w:val="20"/>
              </w:rPr>
            </w:pPr>
            <w:r w:rsidRPr="003542A8">
              <w:rPr>
                <w:rFonts w:cstheme="minorHAnsi"/>
                <w:b/>
                <w:sz w:val="20"/>
                <w:szCs w:val="20"/>
              </w:rPr>
              <w:t>Οι ελληνοτουρκικές οικονομικές σχέσεις: Προβλήματα και προοπτικές – Greek-</w:t>
            </w:r>
            <w:proofErr w:type="spellStart"/>
            <w:r w:rsidRPr="003542A8">
              <w:rPr>
                <w:rFonts w:cstheme="minorHAnsi"/>
                <w:b/>
                <w:sz w:val="20"/>
                <w:szCs w:val="20"/>
              </w:rPr>
              <w:t>Turkish</w:t>
            </w:r>
            <w:proofErr w:type="spellEnd"/>
            <w:r w:rsidRPr="003542A8">
              <w:rPr>
                <w:rFonts w:cstheme="minorHAnsi"/>
                <w:b/>
                <w:sz w:val="20"/>
                <w:szCs w:val="20"/>
              </w:rPr>
              <w:t xml:space="preserve"> </w:t>
            </w:r>
            <w:proofErr w:type="spellStart"/>
            <w:r w:rsidRPr="003542A8">
              <w:rPr>
                <w:rFonts w:cstheme="minorHAnsi"/>
                <w:b/>
                <w:sz w:val="20"/>
                <w:szCs w:val="20"/>
              </w:rPr>
              <w:t>economic</w:t>
            </w:r>
            <w:proofErr w:type="spellEnd"/>
            <w:r w:rsidRPr="003542A8">
              <w:rPr>
                <w:rFonts w:cstheme="minorHAnsi"/>
                <w:b/>
                <w:sz w:val="20"/>
                <w:szCs w:val="20"/>
              </w:rPr>
              <w:t xml:space="preserve">  </w:t>
            </w:r>
            <w:proofErr w:type="spellStart"/>
            <w:r w:rsidRPr="003542A8">
              <w:rPr>
                <w:rFonts w:cstheme="minorHAnsi"/>
                <w:b/>
                <w:sz w:val="20"/>
                <w:szCs w:val="20"/>
              </w:rPr>
              <w:t>relations</w:t>
            </w:r>
            <w:proofErr w:type="spellEnd"/>
            <w:r w:rsidRPr="003542A8">
              <w:rPr>
                <w:rFonts w:cstheme="minorHAnsi"/>
                <w:b/>
                <w:sz w:val="20"/>
                <w:szCs w:val="20"/>
              </w:rPr>
              <w:t xml:space="preserve">: </w:t>
            </w:r>
            <w:proofErr w:type="spellStart"/>
            <w:r w:rsidRPr="003542A8">
              <w:rPr>
                <w:rFonts w:cstheme="minorHAnsi"/>
                <w:b/>
                <w:sz w:val="20"/>
                <w:szCs w:val="20"/>
              </w:rPr>
              <w:t>Problems</w:t>
            </w:r>
            <w:proofErr w:type="spellEnd"/>
            <w:r w:rsidRPr="003542A8">
              <w:rPr>
                <w:rFonts w:cstheme="minorHAnsi"/>
                <w:b/>
                <w:sz w:val="20"/>
                <w:szCs w:val="20"/>
              </w:rPr>
              <w:t xml:space="preserve"> and </w:t>
            </w:r>
            <w:proofErr w:type="spellStart"/>
            <w:r w:rsidRPr="003542A8">
              <w:rPr>
                <w:rFonts w:cstheme="minorHAnsi"/>
                <w:b/>
                <w:sz w:val="20"/>
                <w:szCs w:val="20"/>
              </w:rPr>
              <w:t>Perspectives</w:t>
            </w:r>
            <w:proofErr w:type="spellEnd"/>
          </w:p>
        </w:tc>
        <w:tc>
          <w:tcPr>
            <w:tcW w:w="1450" w:type="pct"/>
          </w:tcPr>
          <w:p w14:paraId="7312A680" w14:textId="77777777" w:rsidR="00082096" w:rsidRPr="003542A8" w:rsidRDefault="00082096" w:rsidP="00082096">
            <w:pPr>
              <w:rPr>
                <w:rFonts w:cstheme="minorHAnsi"/>
                <w:sz w:val="20"/>
                <w:szCs w:val="20"/>
              </w:rPr>
            </w:pPr>
            <w:r w:rsidRPr="003542A8">
              <w:rPr>
                <w:rFonts w:cstheme="minorHAnsi"/>
                <w:sz w:val="20"/>
                <w:szCs w:val="20"/>
              </w:rPr>
              <w:t>Οι τελευταίες δεκαετίες σηματοδοτούν μια περίοδο εντατικοποίησης των οικονομικών σχέσεων μεταξύ Ελλάδας και Τουρκίας παρά την ένταση που χαρακτηρίζει τις σχέσεις τους σε πολιτικό επίπεδο.</w:t>
            </w:r>
          </w:p>
          <w:p w14:paraId="2D8A792F" w14:textId="77777777" w:rsidR="00082096" w:rsidRPr="003542A8" w:rsidRDefault="00082096" w:rsidP="00082096">
            <w:pPr>
              <w:rPr>
                <w:rFonts w:cstheme="minorHAnsi"/>
                <w:sz w:val="20"/>
                <w:szCs w:val="20"/>
              </w:rPr>
            </w:pPr>
            <w:r w:rsidRPr="003542A8">
              <w:rPr>
                <w:rFonts w:cstheme="minorHAnsi"/>
                <w:sz w:val="20"/>
                <w:szCs w:val="20"/>
              </w:rPr>
              <w:t>Οι εμπορικές σχέσεις έχουν τονωθεί, οι επενδύσεις των δύο μερών έχουν ενισχυθεί σημαντικά και σε καίριους τομείς και ο τουρισμός αποτελεί σημαντική παράμετρο ανάπτυξης των οικονομιών.</w:t>
            </w:r>
          </w:p>
          <w:p w14:paraId="3457BD24" w14:textId="77777777" w:rsidR="00082096" w:rsidRPr="003542A8" w:rsidRDefault="00082096" w:rsidP="00082096">
            <w:pPr>
              <w:rPr>
                <w:rFonts w:cstheme="minorHAnsi"/>
                <w:sz w:val="20"/>
                <w:szCs w:val="20"/>
              </w:rPr>
            </w:pPr>
            <w:r w:rsidRPr="003542A8">
              <w:rPr>
                <w:rFonts w:cstheme="minorHAnsi"/>
                <w:sz w:val="20"/>
                <w:szCs w:val="20"/>
              </w:rPr>
              <w:t xml:space="preserve">Παράλληλα οι οικονομίες των δύο χωρών ταλανίζονται από σημαντικά προβλήματα πληθωρισμού, απασχόλησης, δημοσιονομικών δυσχερειών </w:t>
            </w:r>
            <w:proofErr w:type="spellStart"/>
            <w:r w:rsidRPr="003542A8">
              <w:rPr>
                <w:rFonts w:cstheme="minorHAnsi"/>
                <w:sz w:val="20"/>
                <w:szCs w:val="20"/>
              </w:rPr>
              <w:t>κλπ</w:t>
            </w:r>
            <w:proofErr w:type="spellEnd"/>
            <w:r w:rsidRPr="003542A8">
              <w:rPr>
                <w:rFonts w:cstheme="minorHAnsi"/>
                <w:sz w:val="20"/>
                <w:szCs w:val="20"/>
              </w:rPr>
              <w:t>, ενώ υπάρχουν και θέματα με το προσφυγικό δυναμικό που μετακινείται από τα ανατολικά προς τη Δύση, οι εμπόλεμες καταστάσεις στην ευρύτερη περιοχή, ζητήματα που προκαλούν αβεβαιότητα και ανασφάλεια στο γενικότερο οικονομικό περιβάλλον και μπορούν να επιδράσουν σ’ αυτό.</w:t>
            </w:r>
          </w:p>
          <w:p w14:paraId="08A79197" w14:textId="1B596514" w:rsidR="00082096" w:rsidRPr="003542A8" w:rsidRDefault="00082096" w:rsidP="00082096">
            <w:pPr>
              <w:rPr>
                <w:rFonts w:cstheme="minorHAnsi"/>
                <w:sz w:val="20"/>
                <w:szCs w:val="20"/>
              </w:rPr>
            </w:pPr>
            <w:r w:rsidRPr="003542A8">
              <w:rPr>
                <w:rFonts w:cstheme="minorHAnsi"/>
                <w:sz w:val="20"/>
                <w:szCs w:val="20"/>
              </w:rPr>
              <w:t>Στο πλαίσιο αυτό είναι εύλογο το ερώτημα για τις μελλοντικές προοπτικές των οικονομικών σχέσεων των δύο χωρών, τους παράγοντες που μπορεί να επηρεάσουν, θετικά ή/και αρνητικά, αυτές και την διαμόρφωση ενός πλαισίου και συνθηκών που θα διασφαλίζουν την απρόσκοπτη ανάπτυξη αυτών προς όφελος και των δύο μερών.</w:t>
            </w:r>
          </w:p>
          <w:p w14:paraId="1F88FF4F" w14:textId="77777777" w:rsidR="00082096" w:rsidRPr="003542A8" w:rsidRDefault="00082096" w:rsidP="00082096">
            <w:pPr>
              <w:rPr>
                <w:rFonts w:cstheme="minorHAnsi"/>
                <w:sz w:val="20"/>
                <w:szCs w:val="20"/>
              </w:rPr>
            </w:pPr>
            <w:r w:rsidRPr="003542A8">
              <w:rPr>
                <w:rFonts w:cstheme="minorHAnsi"/>
                <w:sz w:val="20"/>
                <w:szCs w:val="20"/>
              </w:rPr>
              <w:t>Λέξεις κλειδιά:</w:t>
            </w:r>
          </w:p>
          <w:p w14:paraId="65B74F0A" w14:textId="77777777" w:rsidR="00082096" w:rsidRPr="003542A8" w:rsidRDefault="00082096" w:rsidP="00082096">
            <w:pPr>
              <w:pStyle w:val="a3"/>
              <w:numPr>
                <w:ilvl w:val="0"/>
                <w:numId w:val="3"/>
              </w:numPr>
              <w:rPr>
                <w:rFonts w:asciiTheme="minorHAnsi" w:hAnsiTheme="minorHAnsi" w:cstheme="minorHAnsi"/>
                <w:sz w:val="20"/>
                <w:szCs w:val="20"/>
                <w:lang w:val="el-GR"/>
              </w:rPr>
            </w:pPr>
            <w:r w:rsidRPr="003542A8">
              <w:rPr>
                <w:rFonts w:asciiTheme="minorHAnsi" w:hAnsiTheme="minorHAnsi" w:cstheme="minorHAnsi"/>
                <w:sz w:val="20"/>
                <w:szCs w:val="20"/>
                <w:lang w:val="el-GR"/>
              </w:rPr>
              <w:t>Ελληνική και Τουρκική οικονομία</w:t>
            </w:r>
          </w:p>
          <w:p w14:paraId="44602E90" w14:textId="77777777" w:rsidR="00082096" w:rsidRPr="003542A8" w:rsidRDefault="00082096" w:rsidP="00082096">
            <w:pPr>
              <w:pStyle w:val="a3"/>
              <w:numPr>
                <w:ilvl w:val="0"/>
                <w:numId w:val="3"/>
              </w:numPr>
              <w:rPr>
                <w:rFonts w:asciiTheme="minorHAnsi" w:hAnsiTheme="minorHAnsi" w:cstheme="minorHAnsi"/>
                <w:sz w:val="20"/>
                <w:szCs w:val="20"/>
                <w:lang w:val="el-GR"/>
              </w:rPr>
            </w:pPr>
            <w:r w:rsidRPr="003542A8">
              <w:rPr>
                <w:rFonts w:asciiTheme="minorHAnsi" w:hAnsiTheme="minorHAnsi" w:cstheme="minorHAnsi"/>
                <w:sz w:val="20"/>
                <w:szCs w:val="20"/>
                <w:lang w:val="el-GR"/>
              </w:rPr>
              <w:t>Εξωτερικό εμπόριο, επενδύσεις, χρηματοοικονομικά προϊόντα, τουρισμός</w:t>
            </w:r>
          </w:p>
          <w:p w14:paraId="38E734C9" w14:textId="77777777" w:rsidR="00082096" w:rsidRPr="003542A8" w:rsidRDefault="00082096" w:rsidP="00082096">
            <w:pPr>
              <w:pStyle w:val="a3"/>
              <w:numPr>
                <w:ilvl w:val="0"/>
                <w:numId w:val="3"/>
              </w:numPr>
              <w:rPr>
                <w:rFonts w:asciiTheme="minorHAnsi" w:hAnsiTheme="minorHAnsi" w:cstheme="minorHAnsi"/>
                <w:sz w:val="20"/>
                <w:szCs w:val="20"/>
                <w:lang w:val="el-GR"/>
              </w:rPr>
            </w:pPr>
            <w:r w:rsidRPr="003542A8">
              <w:rPr>
                <w:rFonts w:asciiTheme="minorHAnsi" w:hAnsiTheme="minorHAnsi" w:cstheme="minorHAnsi"/>
                <w:sz w:val="20"/>
                <w:szCs w:val="20"/>
                <w:lang w:val="el-GR"/>
              </w:rPr>
              <w:t>Διασυνοριακό εμπόριο</w:t>
            </w:r>
          </w:p>
          <w:p w14:paraId="18E0E122" w14:textId="77777777" w:rsidR="00082096" w:rsidRPr="003542A8" w:rsidRDefault="00082096" w:rsidP="00082096">
            <w:pPr>
              <w:pStyle w:val="a3"/>
              <w:numPr>
                <w:ilvl w:val="0"/>
                <w:numId w:val="3"/>
              </w:numPr>
              <w:rPr>
                <w:rFonts w:asciiTheme="minorHAnsi" w:hAnsiTheme="minorHAnsi" w:cstheme="minorHAnsi"/>
                <w:sz w:val="20"/>
                <w:szCs w:val="20"/>
                <w:lang w:val="el-GR"/>
              </w:rPr>
            </w:pPr>
            <w:r w:rsidRPr="003542A8">
              <w:rPr>
                <w:rFonts w:asciiTheme="minorHAnsi" w:hAnsiTheme="minorHAnsi" w:cstheme="minorHAnsi"/>
                <w:sz w:val="20"/>
                <w:szCs w:val="20"/>
                <w:lang w:val="el-GR"/>
              </w:rPr>
              <w:t>Ανταγωνισμός</w:t>
            </w:r>
          </w:p>
          <w:p w14:paraId="06298E3A" w14:textId="77777777" w:rsidR="00082096" w:rsidRPr="003542A8" w:rsidRDefault="00082096" w:rsidP="00082096">
            <w:pPr>
              <w:pStyle w:val="a3"/>
              <w:numPr>
                <w:ilvl w:val="0"/>
                <w:numId w:val="3"/>
              </w:numPr>
              <w:rPr>
                <w:rFonts w:asciiTheme="minorHAnsi" w:hAnsiTheme="minorHAnsi" w:cstheme="minorHAnsi"/>
                <w:sz w:val="20"/>
                <w:szCs w:val="20"/>
                <w:lang w:val="el-GR"/>
              </w:rPr>
            </w:pPr>
            <w:r w:rsidRPr="003542A8">
              <w:rPr>
                <w:rFonts w:asciiTheme="minorHAnsi" w:hAnsiTheme="minorHAnsi" w:cstheme="minorHAnsi"/>
                <w:sz w:val="20"/>
                <w:szCs w:val="20"/>
                <w:lang w:val="el-GR"/>
              </w:rPr>
              <w:t>Συγκριτικό πλεονέκτημα</w:t>
            </w:r>
          </w:p>
          <w:p w14:paraId="7FB26A42" w14:textId="078B21BD" w:rsidR="00082096" w:rsidRPr="003542A8" w:rsidRDefault="00082096" w:rsidP="00082096">
            <w:pPr>
              <w:pStyle w:val="a3"/>
              <w:numPr>
                <w:ilvl w:val="0"/>
                <w:numId w:val="3"/>
              </w:numPr>
              <w:rPr>
                <w:rFonts w:asciiTheme="minorHAnsi" w:hAnsiTheme="minorHAnsi" w:cstheme="minorHAnsi"/>
                <w:sz w:val="20"/>
                <w:szCs w:val="20"/>
                <w:lang w:val="el-GR"/>
              </w:rPr>
            </w:pPr>
            <w:r w:rsidRPr="003542A8">
              <w:rPr>
                <w:rFonts w:asciiTheme="minorHAnsi" w:hAnsiTheme="minorHAnsi" w:cstheme="minorHAnsi"/>
                <w:sz w:val="20"/>
                <w:szCs w:val="20"/>
                <w:lang w:val="el-GR"/>
              </w:rPr>
              <w:t>Προσφυγική κρίση</w:t>
            </w:r>
          </w:p>
        </w:tc>
        <w:tc>
          <w:tcPr>
            <w:tcW w:w="901" w:type="pct"/>
          </w:tcPr>
          <w:p w14:paraId="0C151659" w14:textId="77777777" w:rsidR="00082096" w:rsidRPr="003542A8"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Ανάδειξη των συγκριτικών πλεονεκτημάτων τομέων οικονομικής δραστηριότητας ή/και περιοχών</w:t>
            </w:r>
          </w:p>
          <w:p w14:paraId="2006F959" w14:textId="77777777" w:rsidR="00082096" w:rsidRPr="003542A8"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Εντοπισμός  δυνατών/αδύνατων σημείων</w:t>
            </w:r>
          </w:p>
          <w:p w14:paraId="46989AD5" w14:textId="77777777" w:rsidR="00082096" w:rsidRPr="003542A8"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Μέτρηση του βαθμού διείσδυσης επενδυτικών κεφαλαίων για τις δύο πλευρές</w:t>
            </w:r>
          </w:p>
          <w:p w14:paraId="6778AC80" w14:textId="77777777" w:rsidR="00082096" w:rsidRPr="003542A8"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Ανταγωνιστικότητα/Συνέργειες</w:t>
            </w:r>
          </w:p>
          <w:p w14:paraId="1B7EA383" w14:textId="77777777" w:rsidR="00082096" w:rsidRPr="003542A8"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Ο τουρισμός ως παράδειγμα-πυλώνας εδραίωσης(;) συνεργειών μεταξύ των δύο μερών</w:t>
            </w:r>
          </w:p>
          <w:p w14:paraId="6453997A" w14:textId="77777777" w:rsidR="00082096" w:rsidRPr="003542A8" w:rsidRDefault="00082096" w:rsidP="00082096">
            <w:pPr>
              <w:pStyle w:val="a3"/>
              <w:numPr>
                <w:ilvl w:val="0"/>
                <w:numId w:val="3"/>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 xml:space="preserve">Καλές και κακές πρακτικές </w:t>
            </w:r>
          </w:p>
          <w:p w14:paraId="7AA358D7" w14:textId="146F4775" w:rsidR="00082096" w:rsidRPr="003542A8" w:rsidRDefault="00082096" w:rsidP="00082096">
            <w:pPr>
              <w:tabs>
                <w:tab w:val="left" w:pos="241"/>
              </w:tabs>
              <w:spacing w:after="100" w:afterAutospacing="1"/>
              <w:ind w:left="72" w:hanging="77"/>
              <w:rPr>
                <w:rFonts w:cstheme="minorHAnsi"/>
                <w:color w:val="000000"/>
                <w:sz w:val="20"/>
                <w:szCs w:val="20"/>
              </w:rPr>
            </w:pPr>
          </w:p>
        </w:tc>
        <w:tc>
          <w:tcPr>
            <w:tcW w:w="946" w:type="pct"/>
          </w:tcPr>
          <w:p w14:paraId="6655B02A" w14:textId="3AC11DA7" w:rsidR="00082096" w:rsidRPr="003542A8" w:rsidRDefault="00082096" w:rsidP="00082096">
            <w:pPr>
              <w:spacing w:after="100" w:afterAutospacing="1"/>
              <w:ind w:left="33" w:hanging="33"/>
              <w:rPr>
                <w:rFonts w:cstheme="minorHAnsi"/>
                <w:color w:val="000000"/>
                <w:sz w:val="20"/>
                <w:szCs w:val="20"/>
              </w:rPr>
            </w:pPr>
            <w:r w:rsidRPr="003542A8">
              <w:rPr>
                <w:rFonts w:cstheme="minorHAnsi"/>
                <w:sz w:val="20"/>
                <w:szCs w:val="20"/>
              </w:rPr>
              <w:t xml:space="preserve">Ο υποψήφιος Διδάκτορας μπορεί να είναι απόφοιτος Τμήματος οικονομικών επιστημών ή συναφούς αντικειμένου ή πολιτικός επιστήμων με καλές γνώσεις της οικονομικής επιστήμης. Σχετικές δημοσιεύσεις ή/και ενασχόληση με το αντικείμενο μπορούν να ληφθούν υπόψη. </w:t>
            </w:r>
          </w:p>
        </w:tc>
      </w:tr>
      <w:tr w:rsidR="00082096" w:rsidRPr="005808A4" w14:paraId="0A390DA3" w14:textId="77777777" w:rsidTr="000A3E5C">
        <w:trPr>
          <w:trHeight w:val="255"/>
        </w:trPr>
        <w:tc>
          <w:tcPr>
            <w:tcW w:w="755" w:type="pct"/>
            <w:vAlign w:val="center"/>
          </w:tcPr>
          <w:p w14:paraId="576DEE4A" w14:textId="77777777" w:rsidR="00082096" w:rsidRPr="005808A4" w:rsidRDefault="00082096" w:rsidP="00082096">
            <w:pPr>
              <w:rPr>
                <w:rFonts w:cstheme="minorHAnsi"/>
                <w:b/>
                <w:bCs/>
                <w:sz w:val="20"/>
                <w:szCs w:val="20"/>
              </w:rPr>
            </w:pPr>
          </w:p>
        </w:tc>
        <w:tc>
          <w:tcPr>
            <w:tcW w:w="948" w:type="pct"/>
          </w:tcPr>
          <w:p w14:paraId="2F5B7C3A" w14:textId="1D9B543B" w:rsidR="00082096" w:rsidRPr="003542A8" w:rsidRDefault="00082096" w:rsidP="00082096">
            <w:pPr>
              <w:rPr>
                <w:rFonts w:cstheme="minorHAnsi"/>
                <w:b/>
                <w:bCs/>
                <w:color w:val="000000"/>
                <w:sz w:val="20"/>
                <w:szCs w:val="20"/>
              </w:rPr>
            </w:pPr>
            <w:r w:rsidRPr="003542A8">
              <w:rPr>
                <w:rFonts w:cstheme="minorHAnsi"/>
                <w:b/>
                <w:sz w:val="20"/>
                <w:szCs w:val="20"/>
              </w:rPr>
              <w:t xml:space="preserve">Ανισοκατανομή και μεγέθυνση/ανάπτυξη: Η περίπτωση της Περιφέρειας ΑΜΘ – </w:t>
            </w:r>
            <w:proofErr w:type="spellStart"/>
            <w:r w:rsidRPr="003542A8">
              <w:rPr>
                <w:rFonts w:cstheme="minorHAnsi"/>
                <w:b/>
                <w:sz w:val="20"/>
                <w:szCs w:val="20"/>
              </w:rPr>
              <w:lastRenderedPageBreak/>
              <w:t>Inequality</w:t>
            </w:r>
            <w:proofErr w:type="spellEnd"/>
            <w:r w:rsidRPr="003542A8">
              <w:rPr>
                <w:rFonts w:cstheme="minorHAnsi"/>
                <w:b/>
                <w:sz w:val="20"/>
                <w:szCs w:val="20"/>
              </w:rPr>
              <w:t xml:space="preserve"> and </w:t>
            </w:r>
            <w:proofErr w:type="spellStart"/>
            <w:r w:rsidRPr="003542A8">
              <w:rPr>
                <w:rFonts w:cstheme="minorHAnsi"/>
                <w:b/>
                <w:sz w:val="20"/>
                <w:szCs w:val="20"/>
              </w:rPr>
              <w:t>Growth</w:t>
            </w:r>
            <w:proofErr w:type="spellEnd"/>
            <w:r w:rsidRPr="003542A8">
              <w:rPr>
                <w:rFonts w:cstheme="minorHAnsi"/>
                <w:b/>
                <w:sz w:val="20"/>
                <w:szCs w:val="20"/>
              </w:rPr>
              <w:t xml:space="preserve">/Development: The </w:t>
            </w:r>
            <w:proofErr w:type="spellStart"/>
            <w:r w:rsidRPr="003542A8">
              <w:rPr>
                <w:rFonts w:cstheme="minorHAnsi"/>
                <w:b/>
                <w:sz w:val="20"/>
                <w:szCs w:val="20"/>
              </w:rPr>
              <w:t>Case</w:t>
            </w:r>
            <w:proofErr w:type="spellEnd"/>
            <w:r w:rsidRPr="003542A8">
              <w:rPr>
                <w:rFonts w:cstheme="minorHAnsi"/>
                <w:b/>
                <w:sz w:val="20"/>
                <w:szCs w:val="20"/>
              </w:rPr>
              <w:t xml:space="preserve"> of the </w:t>
            </w:r>
            <w:proofErr w:type="spellStart"/>
            <w:r w:rsidRPr="003542A8">
              <w:rPr>
                <w:rFonts w:cstheme="minorHAnsi"/>
                <w:b/>
                <w:sz w:val="20"/>
                <w:szCs w:val="20"/>
              </w:rPr>
              <w:t>AMTh</w:t>
            </w:r>
            <w:proofErr w:type="spellEnd"/>
            <w:r w:rsidRPr="003542A8">
              <w:rPr>
                <w:rFonts w:cstheme="minorHAnsi"/>
                <w:b/>
                <w:sz w:val="20"/>
                <w:szCs w:val="20"/>
              </w:rPr>
              <w:t xml:space="preserve"> </w:t>
            </w:r>
            <w:proofErr w:type="spellStart"/>
            <w:r w:rsidRPr="003542A8">
              <w:rPr>
                <w:rFonts w:cstheme="minorHAnsi"/>
                <w:b/>
                <w:sz w:val="20"/>
                <w:szCs w:val="20"/>
              </w:rPr>
              <w:t>Region</w:t>
            </w:r>
            <w:proofErr w:type="spellEnd"/>
          </w:p>
        </w:tc>
        <w:tc>
          <w:tcPr>
            <w:tcW w:w="1450" w:type="pct"/>
          </w:tcPr>
          <w:p w14:paraId="6AFB16A0" w14:textId="77777777" w:rsidR="00082096" w:rsidRPr="003542A8" w:rsidRDefault="00082096" w:rsidP="00082096">
            <w:pPr>
              <w:rPr>
                <w:rFonts w:cstheme="minorHAnsi"/>
                <w:sz w:val="20"/>
                <w:szCs w:val="20"/>
              </w:rPr>
            </w:pPr>
            <w:r w:rsidRPr="003542A8">
              <w:rPr>
                <w:rFonts w:cstheme="minorHAnsi"/>
                <w:sz w:val="20"/>
                <w:szCs w:val="20"/>
              </w:rPr>
              <w:lastRenderedPageBreak/>
              <w:t xml:space="preserve">Το θέμα της ανισοκατανομής του πλούτου και των εισοδημάτων συζητείται ολοένα και εντονότερα ως παράγοντας που δυσχεραίνει την </w:t>
            </w:r>
            <w:r w:rsidRPr="003542A8">
              <w:rPr>
                <w:rFonts w:cstheme="minorHAnsi"/>
                <w:sz w:val="20"/>
                <w:szCs w:val="20"/>
              </w:rPr>
              <w:lastRenderedPageBreak/>
              <w:t>αναπτυξιακή διαδικασία μιας οικονομίας. Αυτό, μεταξύ άλλων, και εξαιτίας της κρίσης και των επακόλουθων συνεπειών που αυτή επέφερε, μα κυρίαρχη αυτή της όξυνσης των ανισοτήτων.</w:t>
            </w:r>
          </w:p>
          <w:p w14:paraId="3D9FE4FF" w14:textId="77777777" w:rsidR="00082096" w:rsidRPr="003542A8" w:rsidRDefault="00082096" w:rsidP="00082096">
            <w:pPr>
              <w:rPr>
                <w:rFonts w:cstheme="minorHAnsi"/>
                <w:sz w:val="20"/>
                <w:szCs w:val="20"/>
              </w:rPr>
            </w:pPr>
            <w:r w:rsidRPr="003542A8">
              <w:rPr>
                <w:rFonts w:cstheme="minorHAnsi"/>
                <w:sz w:val="20"/>
                <w:szCs w:val="20"/>
              </w:rPr>
              <w:t>Στο πλαίσιο αυτό είναι πολλές οι φωνές που κάνουν λόγο για την ανάγκη του περιορισμού των ανισοτήτων και της ενίσχυσης των χαμηλών εισοδημάτων ως σημαντικού παράγοντα που θα ενισχύσει την μεγέθυνση και ανάπτυξη μιας οικονομίας.</w:t>
            </w:r>
          </w:p>
          <w:p w14:paraId="3A20E1A1" w14:textId="77777777" w:rsidR="00082096" w:rsidRPr="003542A8" w:rsidRDefault="00082096" w:rsidP="00082096">
            <w:pPr>
              <w:rPr>
                <w:rFonts w:cstheme="minorHAnsi"/>
                <w:sz w:val="20"/>
                <w:szCs w:val="20"/>
              </w:rPr>
            </w:pPr>
            <w:r w:rsidRPr="003542A8">
              <w:rPr>
                <w:rFonts w:cstheme="minorHAnsi"/>
                <w:sz w:val="20"/>
                <w:szCs w:val="20"/>
              </w:rPr>
              <w:t>Το θέμα αυτό δεν έχει μόνον εθνική διάσταση αλλά και περιφερειακή.</w:t>
            </w:r>
          </w:p>
          <w:p w14:paraId="3CE84AD1" w14:textId="7F9A0F58" w:rsidR="00082096" w:rsidRPr="003542A8" w:rsidRDefault="00082096" w:rsidP="00082096">
            <w:pPr>
              <w:rPr>
                <w:rFonts w:cstheme="minorHAnsi"/>
                <w:sz w:val="20"/>
                <w:szCs w:val="20"/>
              </w:rPr>
            </w:pPr>
            <w:r w:rsidRPr="003542A8">
              <w:rPr>
                <w:rFonts w:cstheme="minorHAnsi"/>
                <w:sz w:val="20"/>
                <w:szCs w:val="20"/>
              </w:rPr>
              <w:t>Καθώς η Περιφέρεια ΑΜΘ είναι, με όρους Κατά Κεφαλήν Εγχώριου Εισοδήματος, η φτωχότερη της Ελλάδας και από τις φτωχότερες της ΕΕ, προκύπτει το ερώτημα, πρώτον, αν μια δικαιότερη κατανομή σε περιφερειακό επίπεδο μπορεί να τονώσει την ανάπτυξη και δεύτερον, για το τι και πώς πρέπει να γίνει προκειμένου να αμβλυνθούν οι ανισότητες.</w:t>
            </w:r>
          </w:p>
          <w:p w14:paraId="368B1A47" w14:textId="77777777" w:rsidR="00082096" w:rsidRPr="003542A8" w:rsidRDefault="00082096" w:rsidP="00082096">
            <w:pPr>
              <w:rPr>
                <w:rFonts w:cstheme="minorHAnsi"/>
                <w:sz w:val="20"/>
                <w:szCs w:val="20"/>
              </w:rPr>
            </w:pPr>
            <w:r w:rsidRPr="003542A8">
              <w:rPr>
                <w:rFonts w:cstheme="minorHAnsi"/>
                <w:sz w:val="20"/>
                <w:szCs w:val="20"/>
              </w:rPr>
              <w:t>Λέξεις κλειδιά:</w:t>
            </w:r>
          </w:p>
          <w:p w14:paraId="117BF448" w14:textId="77777777" w:rsidR="00082096" w:rsidRPr="003542A8" w:rsidRDefault="00082096" w:rsidP="00082096">
            <w:pPr>
              <w:pStyle w:val="a3"/>
              <w:numPr>
                <w:ilvl w:val="0"/>
                <w:numId w:val="4"/>
              </w:numPr>
              <w:rPr>
                <w:rFonts w:asciiTheme="minorHAnsi" w:hAnsiTheme="minorHAnsi" w:cstheme="minorHAnsi"/>
                <w:sz w:val="20"/>
                <w:szCs w:val="20"/>
                <w:lang w:val="el-GR"/>
              </w:rPr>
            </w:pPr>
            <w:r w:rsidRPr="003542A8">
              <w:rPr>
                <w:rFonts w:asciiTheme="minorHAnsi" w:hAnsiTheme="minorHAnsi" w:cstheme="minorHAnsi"/>
                <w:sz w:val="20"/>
                <w:szCs w:val="20"/>
                <w:lang w:val="el-GR"/>
              </w:rPr>
              <w:t>Θεωρία κατανομής εισοδήματος και πλούτου</w:t>
            </w:r>
          </w:p>
          <w:p w14:paraId="5B572381" w14:textId="77777777" w:rsidR="00082096" w:rsidRPr="003542A8" w:rsidRDefault="00082096" w:rsidP="00082096">
            <w:pPr>
              <w:pStyle w:val="a3"/>
              <w:numPr>
                <w:ilvl w:val="0"/>
                <w:numId w:val="4"/>
              </w:numPr>
              <w:rPr>
                <w:rFonts w:asciiTheme="minorHAnsi" w:hAnsiTheme="minorHAnsi" w:cstheme="minorHAnsi"/>
                <w:sz w:val="20"/>
                <w:szCs w:val="20"/>
              </w:rPr>
            </w:pPr>
            <w:r w:rsidRPr="003542A8">
              <w:rPr>
                <w:rFonts w:asciiTheme="minorHAnsi" w:hAnsiTheme="minorHAnsi" w:cstheme="minorHAnsi"/>
                <w:sz w:val="20"/>
                <w:szCs w:val="20"/>
                <w:lang w:val="el-GR"/>
              </w:rPr>
              <w:t xml:space="preserve">Συντελεστής </w:t>
            </w:r>
            <w:r w:rsidRPr="003542A8">
              <w:rPr>
                <w:rFonts w:asciiTheme="minorHAnsi" w:hAnsiTheme="minorHAnsi" w:cstheme="minorHAnsi"/>
                <w:sz w:val="20"/>
                <w:szCs w:val="20"/>
              </w:rPr>
              <w:t>Gini</w:t>
            </w:r>
          </w:p>
          <w:p w14:paraId="38F9F24A" w14:textId="77777777" w:rsidR="00082096" w:rsidRPr="003542A8" w:rsidRDefault="00082096" w:rsidP="00082096">
            <w:pPr>
              <w:pStyle w:val="a3"/>
              <w:numPr>
                <w:ilvl w:val="0"/>
                <w:numId w:val="4"/>
              </w:numPr>
              <w:rPr>
                <w:rFonts w:asciiTheme="minorHAnsi" w:hAnsiTheme="minorHAnsi" w:cstheme="minorHAnsi"/>
                <w:sz w:val="20"/>
                <w:szCs w:val="20"/>
                <w:lang w:val="el-GR"/>
              </w:rPr>
            </w:pPr>
            <w:r w:rsidRPr="003542A8">
              <w:rPr>
                <w:rFonts w:asciiTheme="minorHAnsi" w:hAnsiTheme="minorHAnsi" w:cstheme="minorHAnsi"/>
                <w:sz w:val="20"/>
                <w:szCs w:val="20"/>
                <w:lang w:val="el-GR"/>
              </w:rPr>
              <w:t>Διαρθρωτικά χαρακτηριστικά της οικονομίας της Περιφέρειας ΑΜΘ</w:t>
            </w:r>
          </w:p>
          <w:p w14:paraId="63B993C3" w14:textId="1D1DCD4B" w:rsidR="00082096" w:rsidRPr="003542A8" w:rsidRDefault="00082096" w:rsidP="00082096">
            <w:pPr>
              <w:pStyle w:val="a3"/>
              <w:numPr>
                <w:ilvl w:val="0"/>
                <w:numId w:val="4"/>
              </w:numPr>
              <w:rPr>
                <w:rFonts w:asciiTheme="minorHAnsi" w:hAnsiTheme="minorHAnsi" w:cstheme="minorHAnsi"/>
                <w:sz w:val="20"/>
                <w:szCs w:val="20"/>
                <w:lang w:val="el-GR"/>
              </w:rPr>
            </w:pPr>
            <w:r w:rsidRPr="003542A8">
              <w:rPr>
                <w:rFonts w:asciiTheme="minorHAnsi" w:hAnsiTheme="minorHAnsi" w:cstheme="minorHAnsi"/>
                <w:sz w:val="20"/>
                <w:szCs w:val="20"/>
                <w:lang w:val="el-GR"/>
              </w:rPr>
              <w:t>Επιπτώσεις της ανακατανομής στη μεταβολή του περιφερειακού ΑΕΠ και την ανάπτυξη</w:t>
            </w:r>
          </w:p>
        </w:tc>
        <w:tc>
          <w:tcPr>
            <w:tcW w:w="901" w:type="pct"/>
          </w:tcPr>
          <w:p w14:paraId="79D198A4" w14:textId="77777777" w:rsidR="00082096" w:rsidRPr="003542A8" w:rsidRDefault="00082096" w:rsidP="00082096">
            <w:pPr>
              <w:pStyle w:val="a3"/>
              <w:numPr>
                <w:ilvl w:val="0"/>
                <w:numId w:val="4"/>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lastRenderedPageBreak/>
              <w:t xml:space="preserve">Περιγραφή των διαρθρωτικών χαρακτηριστικών της </w:t>
            </w:r>
            <w:r w:rsidRPr="003542A8">
              <w:rPr>
                <w:rFonts w:asciiTheme="minorHAnsi" w:hAnsiTheme="minorHAnsi" w:cstheme="minorHAnsi"/>
                <w:sz w:val="20"/>
                <w:szCs w:val="20"/>
                <w:lang w:val="el-GR"/>
              </w:rPr>
              <w:lastRenderedPageBreak/>
              <w:t>οικονομίας της Περιφέρειας ΑΜΘ</w:t>
            </w:r>
          </w:p>
          <w:p w14:paraId="78D9B4ED" w14:textId="77777777" w:rsidR="00082096" w:rsidRPr="003542A8" w:rsidRDefault="00082096" w:rsidP="00082096">
            <w:pPr>
              <w:pStyle w:val="a3"/>
              <w:numPr>
                <w:ilvl w:val="0"/>
                <w:numId w:val="4"/>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Μέτρηση της ανισότητας στην κατανομή των εισοδημάτων και του πλούτου</w:t>
            </w:r>
          </w:p>
          <w:p w14:paraId="52FED0EC" w14:textId="77777777" w:rsidR="00082096" w:rsidRPr="003542A8" w:rsidRDefault="00082096" w:rsidP="00082096">
            <w:pPr>
              <w:pStyle w:val="a3"/>
              <w:numPr>
                <w:ilvl w:val="0"/>
                <w:numId w:val="4"/>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Ανάδειξη της αναγκαιότητας της ανακατανομής του πλούτου από κάτω προς τα πάνω ως μοχλός ανάπτυξης</w:t>
            </w:r>
          </w:p>
          <w:p w14:paraId="14A1CC12" w14:textId="77777777" w:rsidR="00082096" w:rsidRPr="003542A8" w:rsidRDefault="00082096" w:rsidP="00082096">
            <w:pPr>
              <w:pStyle w:val="a3"/>
              <w:numPr>
                <w:ilvl w:val="0"/>
                <w:numId w:val="4"/>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Πολιτικές και εργαλεία ανακατανομής</w:t>
            </w:r>
          </w:p>
          <w:p w14:paraId="1E1E9C51" w14:textId="77777777" w:rsidR="00082096" w:rsidRPr="003542A8" w:rsidRDefault="00082096" w:rsidP="00082096">
            <w:pPr>
              <w:pStyle w:val="a3"/>
              <w:numPr>
                <w:ilvl w:val="0"/>
                <w:numId w:val="4"/>
              </w:numPr>
              <w:tabs>
                <w:tab w:val="left" w:pos="241"/>
              </w:tabs>
              <w:ind w:left="72" w:hanging="77"/>
              <w:rPr>
                <w:rFonts w:asciiTheme="minorHAnsi" w:hAnsiTheme="minorHAnsi" w:cstheme="minorHAnsi"/>
                <w:sz w:val="20"/>
                <w:szCs w:val="20"/>
                <w:lang w:val="el-GR"/>
              </w:rPr>
            </w:pPr>
            <w:r w:rsidRPr="003542A8">
              <w:rPr>
                <w:rFonts w:asciiTheme="minorHAnsi" w:hAnsiTheme="minorHAnsi" w:cstheme="minorHAnsi"/>
                <w:sz w:val="20"/>
                <w:szCs w:val="20"/>
                <w:lang w:val="el-GR"/>
              </w:rPr>
              <w:t>Ο ρόλος των εθνικών και ευρωπαϊκών χρηματοδοτήσεων</w:t>
            </w:r>
          </w:p>
          <w:p w14:paraId="61667FBF" w14:textId="77777777" w:rsidR="00082096" w:rsidRPr="003542A8" w:rsidRDefault="00082096" w:rsidP="00082096">
            <w:pPr>
              <w:tabs>
                <w:tab w:val="left" w:pos="241"/>
              </w:tabs>
              <w:spacing w:after="100" w:afterAutospacing="1"/>
              <w:ind w:left="72" w:hanging="77"/>
              <w:rPr>
                <w:rFonts w:cstheme="minorHAnsi"/>
                <w:color w:val="000000"/>
                <w:sz w:val="20"/>
                <w:szCs w:val="20"/>
              </w:rPr>
            </w:pPr>
          </w:p>
        </w:tc>
        <w:tc>
          <w:tcPr>
            <w:tcW w:w="946" w:type="pct"/>
          </w:tcPr>
          <w:p w14:paraId="343FAF69" w14:textId="175F97BC" w:rsidR="00082096" w:rsidRPr="003542A8" w:rsidRDefault="00082096" w:rsidP="00082096">
            <w:pPr>
              <w:spacing w:after="100" w:afterAutospacing="1"/>
              <w:ind w:left="33" w:hanging="33"/>
              <w:rPr>
                <w:rFonts w:cstheme="minorHAnsi"/>
                <w:color w:val="000000"/>
                <w:sz w:val="20"/>
                <w:szCs w:val="20"/>
              </w:rPr>
            </w:pPr>
            <w:r w:rsidRPr="003542A8">
              <w:rPr>
                <w:rFonts w:cstheme="minorHAnsi"/>
                <w:sz w:val="20"/>
                <w:szCs w:val="20"/>
              </w:rPr>
              <w:lastRenderedPageBreak/>
              <w:t xml:space="preserve">Ο υποψήφιος Διδάκτορας μπορεί να είναι απόφοιτος Τμήματος </w:t>
            </w:r>
            <w:r w:rsidRPr="003542A8">
              <w:rPr>
                <w:rFonts w:cstheme="minorHAnsi"/>
                <w:sz w:val="20"/>
                <w:szCs w:val="20"/>
              </w:rPr>
              <w:lastRenderedPageBreak/>
              <w:t>οικονομικών επιστημών ή συναφούς αντικειμένου. Σχετικές δημοσιεύσεις ή/και ενασχόληση με το αντικείμενο μπορούν να ληφθούν υπόψη.</w:t>
            </w:r>
          </w:p>
        </w:tc>
      </w:tr>
      <w:tr w:rsidR="00082096" w:rsidRPr="005808A4" w14:paraId="232EE4D2" w14:textId="77777777" w:rsidTr="000A3E5C">
        <w:trPr>
          <w:trHeight w:val="11220"/>
        </w:trPr>
        <w:tc>
          <w:tcPr>
            <w:tcW w:w="755" w:type="pct"/>
            <w:vAlign w:val="center"/>
          </w:tcPr>
          <w:p w14:paraId="39C1F7D1" w14:textId="14A70CAC" w:rsidR="00082096" w:rsidRPr="005808A4" w:rsidRDefault="00082096" w:rsidP="00082096">
            <w:pPr>
              <w:rPr>
                <w:rFonts w:cstheme="minorHAnsi"/>
                <w:b/>
                <w:bCs/>
                <w:sz w:val="20"/>
                <w:szCs w:val="20"/>
              </w:rPr>
            </w:pPr>
            <w:r w:rsidRPr="005808A4">
              <w:rPr>
                <w:rFonts w:cstheme="minorHAnsi"/>
                <w:b/>
                <w:bCs/>
                <w:sz w:val="20"/>
                <w:szCs w:val="20"/>
              </w:rPr>
              <w:lastRenderedPageBreak/>
              <w:t>Χατζούδης Δημήτριος</w:t>
            </w:r>
          </w:p>
        </w:tc>
        <w:tc>
          <w:tcPr>
            <w:tcW w:w="948" w:type="pct"/>
            <w:vAlign w:val="center"/>
          </w:tcPr>
          <w:p w14:paraId="3F755579" w14:textId="77777777" w:rsidR="00082096" w:rsidRPr="003542A8" w:rsidRDefault="00082096" w:rsidP="00082096">
            <w:pPr>
              <w:rPr>
                <w:rFonts w:cstheme="minorHAnsi"/>
                <w:b/>
                <w:position w:val="4"/>
                <w:sz w:val="20"/>
                <w:szCs w:val="20"/>
              </w:rPr>
            </w:pPr>
            <w:r w:rsidRPr="003542A8">
              <w:rPr>
                <w:rFonts w:cstheme="minorHAnsi"/>
                <w:b/>
                <w:position w:val="4"/>
                <w:sz w:val="20"/>
                <w:szCs w:val="20"/>
              </w:rPr>
              <w:t>Ο ρόλος της Τεχνητής Νοημοσύνης (ΤΝ) και των μεγάλων δεδομένων στη λήψη στρατηγικών αποφάσεων</w:t>
            </w:r>
          </w:p>
          <w:p w14:paraId="135CE617" w14:textId="77777777" w:rsidR="00082096" w:rsidRPr="003542A8" w:rsidRDefault="00082096" w:rsidP="00082096">
            <w:pPr>
              <w:rPr>
                <w:rFonts w:cstheme="minorHAnsi"/>
                <w:b/>
                <w:position w:val="4"/>
                <w:sz w:val="20"/>
                <w:szCs w:val="20"/>
              </w:rPr>
            </w:pPr>
          </w:p>
          <w:p w14:paraId="5D749650" w14:textId="6DF3BFBE" w:rsidR="00082096" w:rsidRPr="003542A8" w:rsidRDefault="00082096" w:rsidP="00082096">
            <w:pPr>
              <w:rPr>
                <w:rFonts w:cstheme="minorHAnsi"/>
                <w:b/>
                <w:bCs/>
                <w:color w:val="000000"/>
                <w:sz w:val="20"/>
                <w:szCs w:val="20"/>
                <w:lang w:val="en-US"/>
              </w:rPr>
            </w:pPr>
            <w:r w:rsidRPr="003542A8">
              <w:rPr>
                <w:rFonts w:cstheme="minorHAnsi"/>
                <w:b/>
                <w:position w:val="4"/>
                <w:sz w:val="20"/>
                <w:szCs w:val="20"/>
                <w:lang w:val="en-US"/>
              </w:rPr>
              <w:t>The role of Artificial Intelligence (AI) and big data in strategic decision-making</w:t>
            </w:r>
          </w:p>
        </w:tc>
        <w:tc>
          <w:tcPr>
            <w:tcW w:w="1450" w:type="pct"/>
            <w:vAlign w:val="center"/>
          </w:tcPr>
          <w:p w14:paraId="6897C4CD" w14:textId="77777777" w:rsidR="00082096" w:rsidRPr="003542A8" w:rsidRDefault="00082096" w:rsidP="00082096">
            <w:pPr>
              <w:rPr>
                <w:rFonts w:cstheme="minorHAnsi"/>
                <w:i/>
                <w:iCs/>
                <w:sz w:val="20"/>
                <w:szCs w:val="20"/>
                <w:lang w:val="en-US"/>
              </w:rPr>
            </w:pPr>
          </w:p>
          <w:p w14:paraId="2165D6DF" w14:textId="77777777" w:rsidR="00082096" w:rsidRPr="003542A8" w:rsidRDefault="00082096" w:rsidP="00082096">
            <w:pPr>
              <w:rPr>
                <w:rFonts w:cstheme="minorHAnsi"/>
                <w:sz w:val="20"/>
                <w:szCs w:val="20"/>
              </w:rPr>
            </w:pPr>
            <w:r w:rsidRPr="003542A8">
              <w:rPr>
                <w:rFonts w:cstheme="minorHAnsi"/>
                <w:sz w:val="20"/>
                <w:szCs w:val="20"/>
              </w:rPr>
              <w:t>Αυτή η διατριβή θα εστιάσει στον τρόπο με τον οποίο η ΤΝ και τα μεγάλα δεδομένα μπορούν να ενισχύσουν τη στρατηγική λήψη αποφάσεων, προσφέροντας νέες δυνατότητες πρόβλεψης, ανάλυσης και προγραμματισμού. Η έρευνα φιλοδοξεί να συμβάλει στην κατανόηση του ρόλου της ΤΝ και των μεγάλων δεδομένων στη στρατηγική διοίκηση και να προτείνει βέλτιστες πρακτικές για την αξιοποίηση τους. Τα ευρήματα της σχεδιαζόμενης μελέτης θα να προκύψουν από συνδυασμό ερευνητικών μεθόδων (εμπειρική έρευνα και πειράματα).</w:t>
            </w:r>
          </w:p>
          <w:p w14:paraId="5AF10027" w14:textId="77777777" w:rsidR="00082096" w:rsidRPr="003542A8" w:rsidRDefault="00082096" w:rsidP="00082096">
            <w:pPr>
              <w:rPr>
                <w:rFonts w:cstheme="minorHAnsi"/>
                <w:sz w:val="20"/>
                <w:szCs w:val="20"/>
              </w:rPr>
            </w:pPr>
          </w:p>
          <w:p w14:paraId="6A9FBB85" w14:textId="77777777" w:rsidR="00082096" w:rsidRPr="003542A8" w:rsidRDefault="00082096" w:rsidP="00082096">
            <w:pPr>
              <w:rPr>
                <w:rFonts w:cstheme="minorHAnsi"/>
                <w:sz w:val="20"/>
                <w:szCs w:val="20"/>
              </w:rPr>
            </w:pPr>
            <w:r w:rsidRPr="003542A8">
              <w:rPr>
                <w:rFonts w:cstheme="minorHAnsi"/>
                <w:sz w:val="20"/>
                <w:szCs w:val="20"/>
              </w:rPr>
              <w:t>Ερευνητικό πεδίο:</w:t>
            </w:r>
          </w:p>
          <w:p w14:paraId="0CE9D7FA" w14:textId="77777777" w:rsidR="00082096" w:rsidRPr="003542A8" w:rsidRDefault="00082096" w:rsidP="00082096">
            <w:pPr>
              <w:rPr>
                <w:rFonts w:cstheme="minorHAnsi"/>
                <w:sz w:val="20"/>
                <w:szCs w:val="20"/>
              </w:rPr>
            </w:pPr>
            <w:r w:rsidRPr="003542A8">
              <w:rPr>
                <w:rFonts w:cstheme="minorHAnsi"/>
                <w:sz w:val="20"/>
                <w:szCs w:val="20"/>
              </w:rPr>
              <w:t>Στρατηγική διοίκηση επιχειρήσεων (</w:t>
            </w:r>
            <w:proofErr w:type="spellStart"/>
            <w:r w:rsidRPr="003542A8">
              <w:rPr>
                <w:rFonts w:cstheme="minorHAnsi"/>
                <w:sz w:val="20"/>
                <w:szCs w:val="20"/>
              </w:rPr>
              <w:t>Strategic</w:t>
            </w:r>
            <w:proofErr w:type="spellEnd"/>
            <w:r w:rsidRPr="003542A8">
              <w:rPr>
                <w:rFonts w:cstheme="minorHAnsi"/>
                <w:sz w:val="20"/>
                <w:szCs w:val="20"/>
              </w:rPr>
              <w:t xml:space="preserve"> </w:t>
            </w:r>
            <w:proofErr w:type="spellStart"/>
            <w:r w:rsidRPr="003542A8">
              <w:rPr>
                <w:rFonts w:cstheme="minorHAnsi"/>
                <w:sz w:val="20"/>
                <w:szCs w:val="20"/>
              </w:rPr>
              <w:t>management</w:t>
            </w:r>
            <w:proofErr w:type="spellEnd"/>
            <w:r w:rsidRPr="003542A8">
              <w:rPr>
                <w:rFonts w:cstheme="minorHAnsi"/>
                <w:sz w:val="20"/>
                <w:szCs w:val="20"/>
              </w:rPr>
              <w:t>)</w:t>
            </w:r>
          </w:p>
          <w:p w14:paraId="020F5290" w14:textId="77777777" w:rsidR="00082096" w:rsidRPr="003542A8" w:rsidRDefault="00082096" w:rsidP="00082096">
            <w:pPr>
              <w:rPr>
                <w:rFonts w:cstheme="minorHAnsi"/>
                <w:sz w:val="20"/>
                <w:szCs w:val="20"/>
              </w:rPr>
            </w:pPr>
          </w:p>
          <w:p w14:paraId="20DF0F65" w14:textId="77777777" w:rsidR="00082096" w:rsidRPr="003542A8" w:rsidRDefault="00082096" w:rsidP="00082096">
            <w:pPr>
              <w:rPr>
                <w:rFonts w:cstheme="minorHAnsi"/>
                <w:sz w:val="20"/>
                <w:szCs w:val="20"/>
                <w:lang w:val="en-US"/>
              </w:rPr>
            </w:pPr>
            <w:r w:rsidRPr="003542A8">
              <w:rPr>
                <w:rFonts w:cstheme="minorHAnsi"/>
                <w:sz w:val="20"/>
                <w:szCs w:val="20"/>
              </w:rPr>
              <w:t>Λέξεις</w:t>
            </w:r>
            <w:r w:rsidRPr="003542A8">
              <w:rPr>
                <w:rFonts w:cstheme="minorHAnsi"/>
                <w:sz w:val="20"/>
                <w:szCs w:val="20"/>
                <w:lang w:val="en-US"/>
              </w:rPr>
              <w:t xml:space="preserve"> </w:t>
            </w:r>
            <w:r w:rsidRPr="003542A8">
              <w:rPr>
                <w:rFonts w:cstheme="minorHAnsi"/>
                <w:sz w:val="20"/>
                <w:szCs w:val="20"/>
              </w:rPr>
              <w:t>Κλειδιά</w:t>
            </w:r>
            <w:r w:rsidRPr="003542A8">
              <w:rPr>
                <w:rFonts w:cstheme="minorHAnsi"/>
                <w:sz w:val="20"/>
                <w:szCs w:val="20"/>
                <w:lang w:val="en-US"/>
              </w:rPr>
              <w:t>:</w:t>
            </w:r>
          </w:p>
          <w:p w14:paraId="285E4832" w14:textId="77777777" w:rsidR="00082096" w:rsidRPr="003542A8" w:rsidRDefault="00082096" w:rsidP="00082096">
            <w:pPr>
              <w:ind w:left="313" w:hanging="284"/>
              <w:rPr>
                <w:rFonts w:cstheme="minorHAnsi"/>
                <w:i/>
                <w:iCs/>
                <w:sz w:val="20"/>
                <w:szCs w:val="20"/>
                <w:lang w:val="en-GB"/>
              </w:rPr>
            </w:pPr>
            <w:r w:rsidRPr="003542A8">
              <w:rPr>
                <w:rFonts w:cstheme="minorHAnsi"/>
                <w:i/>
                <w:iCs/>
                <w:sz w:val="20"/>
                <w:szCs w:val="20"/>
                <w:lang w:val="en-GB"/>
              </w:rPr>
              <w:t>•</w:t>
            </w:r>
            <w:r w:rsidRPr="003542A8">
              <w:rPr>
                <w:rFonts w:cstheme="minorHAnsi"/>
                <w:i/>
                <w:iCs/>
                <w:sz w:val="20"/>
                <w:szCs w:val="20"/>
                <w:lang w:val="en-GB"/>
              </w:rPr>
              <w:tab/>
              <w:t>Artificial Intelligence in Strategic Management</w:t>
            </w:r>
          </w:p>
          <w:p w14:paraId="440480FA" w14:textId="77777777" w:rsidR="00082096" w:rsidRPr="003542A8" w:rsidRDefault="00082096" w:rsidP="00082096">
            <w:pPr>
              <w:ind w:left="313" w:hanging="284"/>
              <w:rPr>
                <w:rFonts w:cstheme="minorHAnsi"/>
                <w:i/>
                <w:iCs/>
                <w:sz w:val="20"/>
                <w:szCs w:val="20"/>
                <w:lang w:val="en-GB"/>
              </w:rPr>
            </w:pPr>
            <w:r w:rsidRPr="003542A8">
              <w:rPr>
                <w:rFonts w:cstheme="minorHAnsi"/>
                <w:i/>
                <w:iCs/>
                <w:sz w:val="20"/>
                <w:szCs w:val="20"/>
                <w:lang w:val="en-GB"/>
              </w:rPr>
              <w:t>•</w:t>
            </w:r>
            <w:r w:rsidRPr="003542A8">
              <w:rPr>
                <w:rFonts w:cstheme="minorHAnsi"/>
                <w:i/>
                <w:iCs/>
                <w:sz w:val="20"/>
                <w:szCs w:val="20"/>
                <w:lang w:val="en-GB"/>
              </w:rPr>
              <w:tab/>
              <w:t>Big Data and Decision-Making</w:t>
            </w:r>
          </w:p>
          <w:p w14:paraId="7BD4D65A" w14:textId="77777777" w:rsidR="00082096" w:rsidRPr="003542A8" w:rsidRDefault="00082096" w:rsidP="00082096">
            <w:pPr>
              <w:ind w:left="313" w:hanging="284"/>
              <w:rPr>
                <w:rFonts w:cstheme="minorHAnsi"/>
                <w:i/>
                <w:iCs/>
                <w:sz w:val="20"/>
                <w:szCs w:val="20"/>
                <w:lang w:val="en-GB"/>
              </w:rPr>
            </w:pPr>
            <w:r w:rsidRPr="003542A8">
              <w:rPr>
                <w:rFonts w:cstheme="minorHAnsi"/>
                <w:i/>
                <w:iCs/>
                <w:sz w:val="20"/>
                <w:szCs w:val="20"/>
                <w:lang w:val="en-GB"/>
              </w:rPr>
              <w:t>•</w:t>
            </w:r>
            <w:r w:rsidRPr="003542A8">
              <w:rPr>
                <w:rFonts w:cstheme="minorHAnsi"/>
                <w:i/>
                <w:iCs/>
                <w:sz w:val="20"/>
                <w:szCs w:val="20"/>
                <w:lang w:val="en-GB"/>
              </w:rPr>
              <w:tab/>
              <w:t>AI-Driven Business Strategies</w:t>
            </w:r>
          </w:p>
          <w:p w14:paraId="2F302B3D" w14:textId="77777777" w:rsidR="00082096" w:rsidRPr="003542A8" w:rsidRDefault="00082096" w:rsidP="00082096">
            <w:pPr>
              <w:ind w:left="313" w:hanging="284"/>
              <w:rPr>
                <w:rFonts w:cstheme="minorHAnsi"/>
                <w:i/>
                <w:iCs/>
                <w:sz w:val="20"/>
                <w:szCs w:val="20"/>
                <w:lang w:val="en-GB"/>
              </w:rPr>
            </w:pPr>
            <w:r w:rsidRPr="003542A8">
              <w:rPr>
                <w:rFonts w:cstheme="minorHAnsi"/>
                <w:i/>
                <w:iCs/>
                <w:sz w:val="20"/>
                <w:szCs w:val="20"/>
                <w:lang w:val="en-GB"/>
              </w:rPr>
              <w:t>•</w:t>
            </w:r>
            <w:r w:rsidRPr="003542A8">
              <w:rPr>
                <w:rFonts w:cstheme="minorHAnsi"/>
                <w:i/>
                <w:iCs/>
                <w:sz w:val="20"/>
                <w:szCs w:val="20"/>
                <w:lang w:val="en-GB"/>
              </w:rPr>
              <w:tab/>
              <w:t>Data-Driven Decision-Making Processes</w:t>
            </w:r>
          </w:p>
          <w:p w14:paraId="5CB76396" w14:textId="65F79667" w:rsidR="00082096" w:rsidRPr="003542A8" w:rsidRDefault="00082096" w:rsidP="00082096">
            <w:pPr>
              <w:rPr>
                <w:rFonts w:cstheme="minorHAnsi"/>
                <w:color w:val="000000"/>
                <w:sz w:val="20"/>
                <w:szCs w:val="20"/>
                <w:lang w:val="en-US"/>
              </w:rPr>
            </w:pPr>
            <w:r w:rsidRPr="003542A8">
              <w:rPr>
                <w:rFonts w:cstheme="minorHAnsi"/>
                <w:i/>
                <w:iCs/>
                <w:sz w:val="20"/>
                <w:szCs w:val="20"/>
                <w:lang w:val="en-GB"/>
              </w:rPr>
              <w:t>•</w:t>
            </w:r>
            <w:r w:rsidRPr="003542A8">
              <w:rPr>
                <w:rFonts w:cstheme="minorHAnsi"/>
                <w:i/>
                <w:iCs/>
                <w:sz w:val="20"/>
                <w:szCs w:val="20"/>
                <w:lang w:val="en-GB"/>
              </w:rPr>
              <w:tab/>
              <w:t>Strategic Transformation through AI and Big Data</w:t>
            </w:r>
          </w:p>
        </w:tc>
        <w:tc>
          <w:tcPr>
            <w:tcW w:w="901" w:type="pct"/>
            <w:vAlign w:val="center"/>
          </w:tcPr>
          <w:p w14:paraId="6EF36B7E" w14:textId="77777777" w:rsidR="00082096" w:rsidRPr="003542A8" w:rsidRDefault="00082096" w:rsidP="00082096">
            <w:pPr>
              <w:numPr>
                <w:ilvl w:val="0"/>
                <w:numId w:val="1"/>
              </w:numPr>
              <w:tabs>
                <w:tab w:val="left" w:pos="171"/>
                <w:tab w:val="left" w:pos="241"/>
              </w:tabs>
              <w:spacing w:after="0" w:line="240" w:lineRule="auto"/>
              <w:ind w:left="72" w:hanging="77"/>
              <w:rPr>
                <w:rFonts w:cstheme="minorHAnsi"/>
                <w:i/>
                <w:iCs/>
                <w:sz w:val="20"/>
                <w:szCs w:val="20"/>
              </w:rPr>
            </w:pPr>
            <w:r w:rsidRPr="003542A8">
              <w:rPr>
                <w:rFonts w:cstheme="minorHAnsi"/>
                <w:i/>
                <w:iCs/>
                <w:sz w:val="20"/>
                <w:szCs w:val="20"/>
              </w:rPr>
              <w:t>Να εξεταστεί πώς η τεχνητή νοημοσύνη και τα μεγάλα δεδομένα επηρεάζουν τις παραδοσιακές διαδικασίες λήψης αποφάσεων στις επιχειρήσεις.</w:t>
            </w:r>
          </w:p>
          <w:p w14:paraId="0B6FBAC3" w14:textId="77777777" w:rsidR="00082096" w:rsidRPr="003542A8" w:rsidRDefault="00082096" w:rsidP="00082096">
            <w:pPr>
              <w:numPr>
                <w:ilvl w:val="0"/>
                <w:numId w:val="1"/>
              </w:numPr>
              <w:tabs>
                <w:tab w:val="left" w:pos="171"/>
                <w:tab w:val="left" w:pos="241"/>
              </w:tabs>
              <w:spacing w:after="0" w:line="240" w:lineRule="auto"/>
              <w:ind w:left="72" w:hanging="77"/>
              <w:rPr>
                <w:rFonts w:cstheme="minorHAnsi"/>
                <w:i/>
                <w:iCs/>
                <w:sz w:val="20"/>
                <w:szCs w:val="20"/>
              </w:rPr>
            </w:pPr>
            <w:r w:rsidRPr="003542A8">
              <w:rPr>
                <w:rFonts w:cstheme="minorHAnsi"/>
                <w:i/>
                <w:iCs/>
                <w:sz w:val="20"/>
                <w:szCs w:val="20"/>
              </w:rPr>
              <w:t>Να αναλυθούν τα πιθανά οφέλη, οι κίνδυνοι και οι προκλήσεις της ενσωμάτωσης ΤΝ και μεγάλων δεδομένων σε στρατηγικές διοίκησης.</w:t>
            </w:r>
          </w:p>
          <w:p w14:paraId="585C733A" w14:textId="77777777" w:rsidR="00082096" w:rsidRPr="003542A8" w:rsidRDefault="00082096" w:rsidP="00082096">
            <w:pPr>
              <w:numPr>
                <w:ilvl w:val="0"/>
                <w:numId w:val="1"/>
              </w:numPr>
              <w:tabs>
                <w:tab w:val="left" w:pos="171"/>
                <w:tab w:val="left" w:pos="241"/>
              </w:tabs>
              <w:spacing w:after="0" w:line="240" w:lineRule="auto"/>
              <w:ind w:left="72" w:hanging="77"/>
              <w:rPr>
                <w:rFonts w:cstheme="minorHAnsi"/>
                <w:i/>
                <w:iCs/>
                <w:sz w:val="20"/>
                <w:szCs w:val="20"/>
              </w:rPr>
            </w:pPr>
            <w:r w:rsidRPr="003542A8">
              <w:rPr>
                <w:rFonts w:cstheme="minorHAnsi"/>
                <w:i/>
                <w:iCs/>
                <w:sz w:val="20"/>
                <w:szCs w:val="20"/>
              </w:rPr>
              <w:t>Να εντοπιστούν οι βέλτιστες πρακτικές για την υιοθέτηση και διαχείριση αυτών των τεχνολογιών σε διάφορους τομείς της στρατηγικής διοίκησης.</w:t>
            </w:r>
          </w:p>
          <w:p w14:paraId="02745A3F" w14:textId="6DBD4E3C" w:rsidR="00082096" w:rsidRPr="003542A8" w:rsidRDefault="00082096" w:rsidP="00082096">
            <w:pPr>
              <w:tabs>
                <w:tab w:val="left" w:pos="241"/>
              </w:tabs>
              <w:spacing w:after="100" w:afterAutospacing="1"/>
              <w:ind w:left="72" w:hanging="77"/>
              <w:rPr>
                <w:rFonts w:cstheme="minorHAnsi"/>
                <w:color w:val="000000"/>
                <w:sz w:val="20"/>
                <w:szCs w:val="20"/>
              </w:rPr>
            </w:pPr>
            <w:r w:rsidRPr="003542A8">
              <w:rPr>
                <w:rFonts w:cstheme="minorHAnsi"/>
                <w:i/>
                <w:iCs/>
                <w:sz w:val="20"/>
                <w:szCs w:val="20"/>
              </w:rPr>
              <w:t>Να αναπτυχθεί ένα θεωρητικό ή πρακτικό μοντέλο για την αποτελεσματική αξιοποίηση της ΤΝ και των μεγάλων δεδομένων στη λήψη στρατηγικών αποφάσεων.</w:t>
            </w:r>
          </w:p>
        </w:tc>
        <w:tc>
          <w:tcPr>
            <w:tcW w:w="946" w:type="pct"/>
            <w:vAlign w:val="center"/>
          </w:tcPr>
          <w:p w14:paraId="534F9D3F" w14:textId="77777777" w:rsidR="00082096" w:rsidRPr="003542A8" w:rsidRDefault="00082096" w:rsidP="00082096">
            <w:pPr>
              <w:rPr>
                <w:rFonts w:cstheme="minorHAnsi"/>
                <w:sz w:val="20"/>
                <w:szCs w:val="20"/>
              </w:rPr>
            </w:pPr>
            <w:r w:rsidRPr="003542A8">
              <w:rPr>
                <w:rFonts w:cstheme="minorHAnsi"/>
                <w:sz w:val="20"/>
                <w:szCs w:val="20"/>
              </w:rPr>
              <w:t>Προηγούμενη γνώση ή επιθυμία για μάθηση:</w:t>
            </w:r>
          </w:p>
          <w:p w14:paraId="30506316" w14:textId="77777777" w:rsidR="00082096" w:rsidRPr="003542A8" w:rsidRDefault="00082096" w:rsidP="00082096">
            <w:pPr>
              <w:rPr>
                <w:rFonts w:cstheme="minorHAnsi"/>
                <w:sz w:val="20"/>
                <w:szCs w:val="20"/>
              </w:rPr>
            </w:pPr>
          </w:p>
          <w:p w14:paraId="16F61DBC" w14:textId="77777777" w:rsidR="00082096" w:rsidRPr="003542A8" w:rsidRDefault="00082096" w:rsidP="00082096">
            <w:pPr>
              <w:numPr>
                <w:ilvl w:val="0"/>
                <w:numId w:val="1"/>
              </w:numPr>
              <w:tabs>
                <w:tab w:val="left" w:pos="171"/>
              </w:tabs>
              <w:spacing w:after="0" w:line="240" w:lineRule="auto"/>
              <w:ind w:left="29" w:firstLine="0"/>
              <w:rPr>
                <w:rFonts w:cstheme="minorHAnsi"/>
                <w:i/>
                <w:iCs/>
                <w:sz w:val="20"/>
                <w:szCs w:val="20"/>
              </w:rPr>
            </w:pPr>
            <w:r w:rsidRPr="003542A8">
              <w:rPr>
                <w:rFonts w:cstheme="minorHAnsi"/>
                <w:i/>
                <w:iCs/>
                <w:sz w:val="20"/>
                <w:szCs w:val="20"/>
              </w:rPr>
              <w:t>Ισχυρό ακαδημαϊκό υπόβαθρο σε τομείς όπως Στρατηγική Διοίκηση, Πληροφορική, ή Ανάλυση Δεδομένων</w:t>
            </w:r>
          </w:p>
          <w:p w14:paraId="07B7A1CD" w14:textId="77777777" w:rsidR="00082096" w:rsidRDefault="00082096" w:rsidP="00082096">
            <w:pPr>
              <w:spacing w:after="100" w:afterAutospacing="1"/>
              <w:ind w:left="35" w:hanging="35"/>
              <w:rPr>
                <w:rFonts w:cstheme="minorHAnsi"/>
                <w:i/>
                <w:iCs/>
                <w:sz w:val="20"/>
                <w:szCs w:val="20"/>
              </w:rPr>
            </w:pPr>
            <w:r w:rsidRPr="003542A8">
              <w:rPr>
                <w:rFonts w:cstheme="minorHAnsi"/>
                <w:i/>
                <w:iCs/>
                <w:sz w:val="20"/>
                <w:szCs w:val="20"/>
              </w:rPr>
              <w:t>Ερευνητικές δεξιότητες, όπως εμπειρία στη συλλογή και ανάλυση δεδομένων, γνώση SPSS, καθώς και ικανότητα στη συγγραφή επιστημονικών κειμένων.</w:t>
            </w:r>
          </w:p>
          <w:p w14:paraId="60AE8B9D" w14:textId="7ADF677F" w:rsidR="000A3E5C" w:rsidRPr="003542A8" w:rsidRDefault="000A3E5C" w:rsidP="00082096">
            <w:pPr>
              <w:spacing w:after="100" w:afterAutospacing="1"/>
              <w:ind w:left="35" w:hanging="35"/>
              <w:rPr>
                <w:rFonts w:cstheme="minorHAnsi"/>
                <w:color w:val="000000"/>
                <w:sz w:val="20"/>
                <w:szCs w:val="20"/>
              </w:rPr>
            </w:pPr>
          </w:p>
        </w:tc>
      </w:tr>
      <w:tr w:rsidR="000A3E5C" w:rsidRPr="000A3E5C" w14:paraId="4DDC6D3E" w14:textId="77777777" w:rsidTr="000A3E5C">
        <w:trPr>
          <w:trHeight w:val="11220"/>
        </w:trPr>
        <w:tc>
          <w:tcPr>
            <w:tcW w:w="755" w:type="pct"/>
            <w:vAlign w:val="center"/>
          </w:tcPr>
          <w:p w14:paraId="47CE4B60" w14:textId="4EF07224" w:rsidR="000A3E5C" w:rsidRPr="005808A4" w:rsidRDefault="000A3E5C" w:rsidP="00082096">
            <w:pPr>
              <w:rPr>
                <w:rFonts w:cstheme="minorHAnsi"/>
                <w:b/>
                <w:bCs/>
                <w:sz w:val="20"/>
                <w:szCs w:val="20"/>
              </w:rPr>
            </w:pPr>
            <w:proofErr w:type="spellStart"/>
            <w:r>
              <w:rPr>
                <w:rFonts w:cstheme="minorHAnsi"/>
                <w:b/>
                <w:bCs/>
                <w:sz w:val="20"/>
                <w:szCs w:val="20"/>
              </w:rPr>
              <w:lastRenderedPageBreak/>
              <w:t>Παλιόκας</w:t>
            </w:r>
            <w:proofErr w:type="spellEnd"/>
            <w:r>
              <w:rPr>
                <w:rFonts w:cstheme="minorHAnsi"/>
                <w:b/>
                <w:bCs/>
                <w:sz w:val="20"/>
                <w:szCs w:val="20"/>
              </w:rPr>
              <w:t xml:space="preserve"> Ιωάννης</w:t>
            </w:r>
          </w:p>
        </w:tc>
        <w:tc>
          <w:tcPr>
            <w:tcW w:w="948" w:type="pct"/>
            <w:vAlign w:val="center"/>
          </w:tcPr>
          <w:p w14:paraId="679C351E" w14:textId="77777777" w:rsidR="000A3E5C" w:rsidRPr="000A3E5C" w:rsidRDefault="000A3E5C" w:rsidP="000A3E5C">
            <w:pPr>
              <w:rPr>
                <w:rFonts w:cstheme="minorHAnsi"/>
                <w:b/>
                <w:position w:val="4"/>
                <w:sz w:val="20"/>
                <w:szCs w:val="20"/>
              </w:rPr>
            </w:pPr>
          </w:p>
          <w:p w14:paraId="6EAEB1B6" w14:textId="7253E684" w:rsidR="000A3E5C" w:rsidRPr="000A3E5C" w:rsidRDefault="000A3E5C" w:rsidP="000A3E5C">
            <w:pPr>
              <w:rPr>
                <w:rFonts w:cstheme="minorHAnsi"/>
                <w:b/>
                <w:position w:val="4"/>
                <w:sz w:val="20"/>
                <w:szCs w:val="20"/>
              </w:rPr>
            </w:pPr>
            <w:r w:rsidRPr="000A3E5C">
              <w:rPr>
                <w:rFonts w:cstheme="minorHAnsi"/>
                <w:b/>
                <w:position w:val="4"/>
                <w:sz w:val="20"/>
                <w:szCs w:val="20"/>
              </w:rPr>
              <w:t xml:space="preserve">Μελέτη των Επιπτώσεων και της Συμπεριφοράς  Μαθητών από την Εφαρμογή των Αρχών </w:t>
            </w:r>
            <w:proofErr w:type="spellStart"/>
            <w:r w:rsidRPr="000A3E5C">
              <w:rPr>
                <w:rFonts w:cstheme="minorHAnsi"/>
                <w:b/>
                <w:position w:val="4"/>
                <w:sz w:val="20"/>
                <w:szCs w:val="20"/>
              </w:rPr>
              <w:t>Παιχνιδοποίησης</w:t>
            </w:r>
            <w:proofErr w:type="spellEnd"/>
            <w:r w:rsidRPr="000A3E5C">
              <w:rPr>
                <w:rFonts w:cstheme="minorHAnsi"/>
                <w:b/>
                <w:position w:val="4"/>
                <w:sz w:val="20"/>
                <w:szCs w:val="20"/>
              </w:rPr>
              <w:t xml:space="preserve"> σε Ψηφιακά Περιβάλλοντα Μάθησης</w:t>
            </w:r>
          </w:p>
          <w:p w14:paraId="3EE48FF3" w14:textId="77777777" w:rsidR="000A3E5C" w:rsidRPr="000A3E5C" w:rsidRDefault="000A3E5C" w:rsidP="000A3E5C">
            <w:pPr>
              <w:rPr>
                <w:rFonts w:cstheme="minorHAnsi"/>
                <w:b/>
                <w:position w:val="4"/>
                <w:sz w:val="20"/>
                <w:szCs w:val="20"/>
              </w:rPr>
            </w:pPr>
          </w:p>
          <w:p w14:paraId="502E6BE7" w14:textId="6173286E" w:rsidR="000A3E5C" w:rsidRPr="000A3E5C" w:rsidRDefault="000A3E5C" w:rsidP="000A3E5C">
            <w:pPr>
              <w:rPr>
                <w:rFonts w:cstheme="minorHAnsi"/>
                <w:b/>
                <w:position w:val="4"/>
                <w:sz w:val="20"/>
                <w:szCs w:val="20"/>
                <w:lang w:val="en-US"/>
              </w:rPr>
            </w:pPr>
            <w:r w:rsidRPr="000A3E5C">
              <w:rPr>
                <w:rFonts w:cstheme="minorHAnsi"/>
                <w:b/>
                <w:position w:val="4"/>
                <w:sz w:val="20"/>
                <w:szCs w:val="20"/>
                <w:lang w:val="en-US"/>
              </w:rPr>
              <w:t>(Study of the Impact and Students’ Behavior of the Application of Gamification Principles within Digital Learning Environments)</w:t>
            </w:r>
          </w:p>
        </w:tc>
        <w:tc>
          <w:tcPr>
            <w:tcW w:w="1450" w:type="pct"/>
            <w:vAlign w:val="center"/>
          </w:tcPr>
          <w:p w14:paraId="661E088E" w14:textId="77777777" w:rsidR="000A3E5C" w:rsidRPr="000A3E5C" w:rsidRDefault="000A3E5C" w:rsidP="000A3E5C">
            <w:pPr>
              <w:spacing w:after="0"/>
              <w:rPr>
                <w:rFonts w:cstheme="minorHAnsi"/>
                <w:iCs/>
                <w:sz w:val="20"/>
                <w:szCs w:val="20"/>
              </w:rPr>
            </w:pPr>
            <w:r w:rsidRPr="000A3E5C">
              <w:rPr>
                <w:rFonts w:cstheme="minorHAnsi"/>
                <w:iCs/>
                <w:sz w:val="20"/>
                <w:szCs w:val="20"/>
              </w:rPr>
              <w:t>Η εκπαίδευση βρίσκεται σε μια διαρκή εξέλιξη, με τις σύγχρονες παιδαγωγικές προσεγγίσεις να επικεντρώνονται όλο και περισσότερο στη βιωματική και ενεργή μάθηση. Ένα από τα πλέον καινοτόμα παιδαγωγικά μοντέλα που κερδίζει έδαφος είναι η παιγνιώδης μάθηση (</w:t>
            </w:r>
            <w:proofErr w:type="spellStart"/>
            <w:r w:rsidRPr="000A3E5C">
              <w:rPr>
                <w:rFonts w:cstheme="minorHAnsi"/>
                <w:iCs/>
                <w:sz w:val="20"/>
                <w:szCs w:val="20"/>
              </w:rPr>
              <w:t>game-based</w:t>
            </w:r>
            <w:proofErr w:type="spellEnd"/>
            <w:r w:rsidRPr="000A3E5C">
              <w:rPr>
                <w:rFonts w:cstheme="minorHAnsi"/>
                <w:iCs/>
                <w:sz w:val="20"/>
                <w:szCs w:val="20"/>
              </w:rPr>
              <w:t xml:space="preserve"> </w:t>
            </w:r>
            <w:proofErr w:type="spellStart"/>
            <w:r w:rsidRPr="000A3E5C">
              <w:rPr>
                <w:rFonts w:cstheme="minorHAnsi"/>
                <w:iCs/>
                <w:sz w:val="20"/>
                <w:szCs w:val="20"/>
              </w:rPr>
              <w:t>learning</w:t>
            </w:r>
            <w:proofErr w:type="spellEnd"/>
            <w:r w:rsidRPr="000A3E5C">
              <w:rPr>
                <w:rFonts w:cstheme="minorHAnsi"/>
                <w:iCs/>
                <w:sz w:val="20"/>
                <w:szCs w:val="20"/>
              </w:rPr>
              <w:t>), η οποία ενσωματώνει στοιχεία παιχνιδιού για να ενισχύσει το ενδιαφέρον, τη συμμετοχή και την κατανόηση των μαθητών. Ωστόσο, παρά την αυξανόμενη χρήση της, υπάρχει περιορισμένη κατανόηση του τρόπου με τον οποίο οι ίδιοι οι μαθητές βιώνουν αυτή τη μαθησιακή διαδικασία.</w:t>
            </w:r>
          </w:p>
          <w:p w14:paraId="293B0F59" w14:textId="77777777" w:rsidR="000A3E5C" w:rsidRPr="000A3E5C" w:rsidRDefault="000A3E5C" w:rsidP="000A3E5C">
            <w:pPr>
              <w:spacing w:after="0"/>
              <w:rPr>
                <w:rFonts w:cstheme="minorHAnsi"/>
                <w:iCs/>
                <w:sz w:val="20"/>
                <w:szCs w:val="20"/>
              </w:rPr>
            </w:pPr>
            <w:r w:rsidRPr="000A3E5C">
              <w:rPr>
                <w:rFonts w:cstheme="minorHAnsi"/>
                <w:iCs/>
                <w:sz w:val="20"/>
                <w:szCs w:val="20"/>
              </w:rPr>
              <w:t xml:space="preserve">Η παρούσα διδακτορική διατριβή επιδιώκει να εξετάσει τόσο τις αντικειμενικές αλλαγές στη συμπεριφορά των μαθητών/καταρτιζόμενων μέσα σε παιγνιώδη περιβάλλοντα μάθησης, όσο και τις υποκειμενικές τους εμπειρίες. Η έρευνα στοχεύει να αποκαλύψει τις μετρήσιμες αλλαγές στη συμπεριφορά των χρηστών, τις μαθητικές επιδόσεις, τα κίνητρα συμμετοχής, τις </w:t>
            </w:r>
            <w:proofErr w:type="spellStart"/>
            <w:r w:rsidRPr="000A3E5C">
              <w:rPr>
                <w:rFonts w:cstheme="minorHAnsi"/>
                <w:iCs/>
                <w:sz w:val="20"/>
                <w:szCs w:val="20"/>
              </w:rPr>
              <w:t>νοηματοδοτήσεις</w:t>
            </w:r>
            <w:proofErr w:type="spellEnd"/>
            <w:r w:rsidRPr="000A3E5C">
              <w:rPr>
                <w:rFonts w:cstheme="minorHAnsi"/>
                <w:iCs/>
                <w:sz w:val="20"/>
                <w:szCs w:val="20"/>
              </w:rPr>
              <w:t xml:space="preserve">, τις αντιλήψεις και τις συναισθηματικές διαστάσεις που αναδύονται από τη συμμετοχή των μαθητών σε τέτοιου είδους περιβάλλοντα. Θα χρησιμοποιηθούν εργαλεία ανάπτυξης εφαρμογών για κινητές και σταθερές υπολογιστικές συσκευές </w:t>
            </w:r>
          </w:p>
          <w:p w14:paraId="59C8820D" w14:textId="77777777" w:rsidR="000A3E5C" w:rsidRPr="000A3E5C" w:rsidRDefault="000A3E5C" w:rsidP="000A3E5C">
            <w:pPr>
              <w:rPr>
                <w:rFonts w:cstheme="minorHAnsi"/>
                <w:iCs/>
                <w:sz w:val="20"/>
                <w:szCs w:val="20"/>
              </w:rPr>
            </w:pPr>
            <w:r w:rsidRPr="000A3E5C">
              <w:rPr>
                <w:rFonts w:cstheme="minorHAnsi"/>
                <w:iCs/>
                <w:sz w:val="20"/>
                <w:szCs w:val="20"/>
              </w:rPr>
              <w:t xml:space="preserve">Επίσης, η έρευνα θα συμβάλει στη βελτίωση της σχεδίασης των εκπαιδευτικών παιχνιδιών και στην ενίσχυση </w:t>
            </w:r>
            <w:proofErr w:type="spellStart"/>
            <w:r w:rsidRPr="000A3E5C">
              <w:rPr>
                <w:rFonts w:cstheme="minorHAnsi"/>
                <w:iCs/>
                <w:sz w:val="20"/>
                <w:szCs w:val="20"/>
              </w:rPr>
              <w:t>τηνς</w:t>
            </w:r>
            <w:proofErr w:type="spellEnd"/>
            <w:r w:rsidRPr="000A3E5C">
              <w:rPr>
                <w:rFonts w:cstheme="minorHAnsi"/>
                <w:iCs/>
                <w:sz w:val="20"/>
                <w:szCs w:val="20"/>
              </w:rPr>
              <w:t xml:space="preserve"> κατανόησης της σχέσης μεταξύ τεχνολογίας, παιχνιδιού και μαθησιακής εμπειρίας.</w:t>
            </w:r>
          </w:p>
          <w:p w14:paraId="1FEE6871" w14:textId="7C3219D1" w:rsidR="000A3E5C" w:rsidRPr="000A3E5C" w:rsidRDefault="000A3E5C" w:rsidP="000A3E5C">
            <w:pPr>
              <w:rPr>
                <w:rFonts w:cstheme="minorHAnsi"/>
                <w:i/>
                <w:iCs/>
                <w:sz w:val="20"/>
                <w:szCs w:val="20"/>
              </w:rPr>
            </w:pPr>
            <w:r w:rsidRPr="000A3E5C">
              <w:rPr>
                <w:rFonts w:cstheme="minorHAnsi"/>
                <w:iCs/>
                <w:sz w:val="20"/>
                <w:szCs w:val="20"/>
              </w:rPr>
              <w:t xml:space="preserve">Λέξεις κλειδιά: </w:t>
            </w:r>
            <w:proofErr w:type="spellStart"/>
            <w:r w:rsidRPr="000A3E5C">
              <w:rPr>
                <w:rFonts w:cstheme="minorHAnsi"/>
                <w:iCs/>
                <w:sz w:val="20"/>
                <w:szCs w:val="20"/>
              </w:rPr>
              <w:t>Παιχνιδοποίηση</w:t>
            </w:r>
            <w:proofErr w:type="spellEnd"/>
            <w:r w:rsidRPr="000A3E5C">
              <w:rPr>
                <w:rFonts w:cstheme="minorHAnsi"/>
                <w:iCs/>
                <w:sz w:val="20"/>
                <w:szCs w:val="20"/>
              </w:rPr>
              <w:t xml:space="preserve"> (</w:t>
            </w:r>
            <w:proofErr w:type="spellStart"/>
            <w:r w:rsidRPr="000A3E5C">
              <w:rPr>
                <w:rFonts w:cstheme="minorHAnsi"/>
                <w:iCs/>
                <w:sz w:val="20"/>
                <w:szCs w:val="20"/>
              </w:rPr>
              <w:t>Gamification</w:t>
            </w:r>
            <w:proofErr w:type="spellEnd"/>
            <w:r w:rsidRPr="000A3E5C">
              <w:rPr>
                <w:rFonts w:cstheme="minorHAnsi"/>
                <w:iCs/>
                <w:sz w:val="20"/>
                <w:szCs w:val="20"/>
              </w:rPr>
              <w:t xml:space="preserve">), Συστήματα </w:t>
            </w:r>
            <w:proofErr w:type="spellStart"/>
            <w:r w:rsidRPr="000A3E5C">
              <w:rPr>
                <w:rFonts w:cstheme="minorHAnsi"/>
                <w:iCs/>
                <w:sz w:val="20"/>
                <w:szCs w:val="20"/>
              </w:rPr>
              <w:t>Διαχείρησης</w:t>
            </w:r>
            <w:proofErr w:type="spellEnd"/>
            <w:r w:rsidRPr="000A3E5C">
              <w:rPr>
                <w:rFonts w:cstheme="minorHAnsi"/>
                <w:iCs/>
                <w:sz w:val="20"/>
                <w:szCs w:val="20"/>
              </w:rPr>
              <w:t xml:space="preserve"> Μάθησης (</w:t>
            </w:r>
            <w:proofErr w:type="spellStart"/>
            <w:r w:rsidRPr="000A3E5C">
              <w:rPr>
                <w:rFonts w:cstheme="minorHAnsi"/>
                <w:iCs/>
                <w:sz w:val="20"/>
                <w:szCs w:val="20"/>
              </w:rPr>
              <w:t>Learning</w:t>
            </w:r>
            <w:proofErr w:type="spellEnd"/>
            <w:r w:rsidRPr="000A3E5C">
              <w:rPr>
                <w:rFonts w:cstheme="minorHAnsi"/>
                <w:iCs/>
                <w:sz w:val="20"/>
                <w:szCs w:val="20"/>
              </w:rPr>
              <w:t xml:space="preserve"> </w:t>
            </w:r>
            <w:proofErr w:type="spellStart"/>
            <w:r w:rsidRPr="000A3E5C">
              <w:rPr>
                <w:rFonts w:cstheme="minorHAnsi"/>
                <w:iCs/>
                <w:sz w:val="20"/>
                <w:szCs w:val="20"/>
              </w:rPr>
              <w:t>Management</w:t>
            </w:r>
            <w:proofErr w:type="spellEnd"/>
            <w:r w:rsidRPr="000A3E5C">
              <w:rPr>
                <w:rFonts w:cstheme="minorHAnsi"/>
                <w:iCs/>
                <w:sz w:val="20"/>
                <w:szCs w:val="20"/>
              </w:rPr>
              <w:t xml:space="preserve"> Systems)</w:t>
            </w:r>
          </w:p>
        </w:tc>
        <w:tc>
          <w:tcPr>
            <w:tcW w:w="901" w:type="pct"/>
            <w:vAlign w:val="center"/>
          </w:tcPr>
          <w:p w14:paraId="48C52CF9" w14:textId="77777777" w:rsidR="000A3E5C" w:rsidRPr="000A3E5C" w:rsidRDefault="000A3E5C" w:rsidP="000A3E5C">
            <w:pPr>
              <w:numPr>
                <w:ilvl w:val="0"/>
                <w:numId w:val="1"/>
              </w:numPr>
              <w:spacing w:after="0" w:line="240" w:lineRule="auto"/>
              <w:ind w:left="184" w:hanging="184"/>
              <w:rPr>
                <w:rFonts w:cstheme="minorHAnsi"/>
                <w:sz w:val="20"/>
                <w:szCs w:val="20"/>
              </w:rPr>
            </w:pPr>
            <w:r w:rsidRPr="000A3E5C">
              <w:rPr>
                <w:rFonts w:cstheme="minorHAnsi"/>
                <w:sz w:val="20"/>
                <w:szCs w:val="20"/>
              </w:rPr>
              <w:t xml:space="preserve">Εκτίμηση του βαθμού διείσδυσης της </w:t>
            </w:r>
            <w:proofErr w:type="spellStart"/>
            <w:r w:rsidRPr="000A3E5C">
              <w:rPr>
                <w:rFonts w:cstheme="minorHAnsi"/>
                <w:sz w:val="20"/>
                <w:szCs w:val="20"/>
              </w:rPr>
              <w:t>Παιχνιδοποίησης</w:t>
            </w:r>
            <w:proofErr w:type="spellEnd"/>
            <w:r w:rsidRPr="000A3E5C">
              <w:rPr>
                <w:rFonts w:cstheme="minorHAnsi"/>
                <w:sz w:val="20"/>
                <w:szCs w:val="20"/>
              </w:rPr>
              <w:t xml:space="preserve"> σε περιβάλλοντα τυπικής, άτυπης και μη-</w:t>
            </w:r>
            <w:proofErr w:type="spellStart"/>
            <w:r w:rsidRPr="000A3E5C">
              <w:rPr>
                <w:rFonts w:cstheme="minorHAnsi"/>
                <w:sz w:val="20"/>
                <w:szCs w:val="20"/>
              </w:rPr>
              <w:t>τπικής</w:t>
            </w:r>
            <w:proofErr w:type="spellEnd"/>
            <w:r w:rsidRPr="000A3E5C">
              <w:rPr>
                <w:rFonts w:cstheme="minorHAnsi"/>
                <w:sz w:val="20"/>
                <w:szCs w:val="20"/>
              </w:rPr>
              <w:t xml:space="preserve"> εκπαίδευσης</w:t>
            </w:r>
          </w:p>
          <w:p w14:paraId="4F5B2C4A" w14:textId="77777777" w:rsidR="000A3E5C" w:rsidRPr="000A3E5C" w:rsidRDefault="000A3E5C" w:rsidP="000A3E5C">
            <w:pPr>
              <w:numPr>
                <w:ilvl w:val="0"/>
                <w:numId w:val="1"/>
              </w:numPr>
              <w:spacing w:after="0" w:line="240" w:lineRule="auto"/>
              <w:ind w:left="184" w:hanging="184"/>
              <w:rPr>
                <w:rFonts w:cstheme="minorHAnsi"/>
                <w:sz w:val="20"/>
                <w:szCs w:val="20"/>
              </w:rPr>
            </w:pPr>
            <w:r w:rsidRPr="000A3E5C">
              <w:rPr>
                <w:rFonts w:cstheme="minorHAnsi"/>
                <w:sz w:val="20"/>
                <w:szCs w:val="20"/>
              </w:rPr>
              <w:t xml:space="preserve"> Βιβλιογραφική ανασκόπηση των ερευνών και ερευνητικών έργων πάνω στο θέμα της εφαρμογής στοιχείων παιχνιδιού στην εκπαίδευση και κατάρτιση</w:t>
            </w:r>
          </w:p>
          <w:p w14:paraId="77BEF8EF" w14:textId="77777777" w:rsidR="000A3E5C" w:rsidRPr="000A3E5C" w:rsidRDefault="000A3E5C" w:rsidP="000A3E5C">
            <w:pPr>
              <w:numPr>
                <w:ilvl w:val="0"/>
                <w:numId w:val="1"/>
              </w:numPr>
              <w:spacing w:after="0" w:line="240" w:lineRule="auto"/>
              <w:ind w:left="184" w:hanging="184"/>
              <w:rPr>
                <w:rFonts w:cstheme="minorHAnsi"/>
                <w:sz w:val="20"/>
                <w:szCs w:val="20"/>
              </w:rPr>
            </w:pPr>
            <w:r w:rsidRPr="000A3E5C">
              <w:rPr>
                <w:rFonts w:cstheme="minorHAnsi"/>
                <w:sz w:val="20"/>
                <w:szCs w:val="20"/>
              </w:rPr>
              <w:t xml:space="preserve">Ανίχνευση και ανάδειξη των συγκριτικών πλεονεκτημάτων των τεχνικών </w:t>
            </w:r>
            <w:proofErr w:type="spellStart"/>
            <w:r w:rsidRPr="000A3E5C">
              <w:rPr>
                <w:rFonts w:cstheme="minorHAnsi"/>
                <w:sz w:val="20"/>
                <w:szCs w:val="20"/>
              </w:rPr>
              <w:t>παιχνιδοποίησης</w:t>
            </w:r>
            <w:proofErr w:type="spellEnd"/>
            <w:r w:rsidRPr="000A3E5C">
              <w:rPr>
                <w:rFonts w:cstheme="minorHAnsi"/>
                <w:sz w:val="20"/>
                <w:szCs w:val="20"/>
              </w:rPr>
              <w:t xml:space="preserve"> στην εκπαίδευση</w:t>
            </w:r>
          </w:p>
          <w:p w14:paraId="7460D1CC" w14:textId="77777777" w:rsidR="000A3E5C" w:rsidRPr="000A3E5C" w:rsidRDefault="000A3E5C" w:rsidP="000A3E5C">
            <w:pPr>
              <w:numPr>
                <w:ilvl w:val="0"/>
                <w:numId w:val="1"/>
              </w:numPr>
              <w:spacing w:after="0" w:line="240" w:lineRule="auto"/>
              <w:ind w:left="184" w:hanging="184"/>
              <w:rPr>
                <w:rFonts w:cstheme="minorHAnsi"/>
                <w:sz w:val="20"/>
                <w:szCs w:val="20"/>
              </w:rPr>
            </w:pPr>
            <w:r w:rsidRPr="000A3E5C">
              <w:rPr>
                <w:rFonts w:cstheme="minorHAnsi"/>
                <w:sz w:val="20"/>
                <w:szCs w:val="20"/>
              </w:rPr>
              <w:t>Μέτρηση της επίδρασης της εφαρμογής στοιχείων παιχνιδιού σε μαθησιακά περιβάλλοντα και Συστήματα Διαχείρισης της Μάθησης στην συμπεριφορά των χρηστών</w:t>
            </w:r>
          </w:p>
          <w:p w14:paraId="415D6B62" w14:textId="77777777" w:rsidR="000A3E5C" w:rsidRPr="000A3E5C" w:rsidRDefault="000A3E5C" w:rsidP="000A3E5C">
            <w:pPr>
              <w:numPr>
                <w:ilvl w:val="0"/>
                <w:numId w:val="1"/>
              </w:numPr>
              <w:spacing w:after="0" w:line="240" w:lineRule="auto"/>
              <w:ind w:left="184" w:hanging="184"/>
              <w:rPr>
                <w:rFonts w:cstheme="minorHAnsi"/>
                <w:sz w:val="20"/>
                <w:szCs w:val="20"/>
              </w:rPr>
            </w:pPr>
            <w:r w:rsidRPr="000A3E5C">
              <w:rPr>
                <w:rFonts w:cstheme="minorHAnsi"/>
                <w:sz w:val="20"/>
                <w:szCs w:val="20"/>
              </w:rPr>
              <w:t>Μελέτη συσχετίσεων στοιχείων παιχνιδιού-Επίδρασης στην συμπεριφορά των μαθητευομένων και καταρτιζόμενων</w:t>
            </w:r>
          </w:p>
          <w:p w14:paraId="182983A1" w14:textId="37ED5436" w:rsidR="000A3E5C" w:rsidRPr="000A3E5C" w:rsidRDefault="000A3E5C" w:rsidP="000A3E5C">
            <w:pPr>
              <w:numPr>
                <w:ilvl w:val="0"/>
                <w:numId w:val="1"/>
              </w:numPr>
              <w:tabs>
                <w:tab w:val="left" w:pos="171"/>
                <w:tab w:val="left" w:pos="241"/>
              </w:tabs>
              <w:spacing w:after="0" w:line="240" w:lineRule="auto"/>
              <w:ind w:left="72" w:hanging="77"/>
              <w:rPr>
                <w:rFonts w:cstheme="minorHAnsi"/>
                <w:i/>
                <w:iCs/>
                <w:sz w:val="20"/>
                <w:szCs w:val="20"/>
              </w:rPr>
            </w:pPr>
            <w:r w:rsidRPr="000A3E5C">
              <w:rPr>
                <w:rFonts w:cstheme="minorHAnsi"/>
                <w:sz w:val="20"/>
                <w:szCs w:val="20"/>
              </w:rPr>
              <w:t xml:space="preserve">Βέλτιστες Πρακτικές για την ενσωμάτωση των Σοβαρών Παιχνιδιών και της </w:t>
            </w:r>
            <w:proofErr w:type="spellStart"/>
            <w:r w:rsidRPr="000A3E5C">
              <w:rPr>
                <w:rFonts w:cstheme="minorHAnsi"/>
                <w:sz w:val="20"/>
                <w:szCs w:val="20"/>
              </w:rPr>
              <w:t>Παιχνιδοποίησης</w:t>
            </w:r>
            <w:proofErr w:type="spellEnd"/>
            <w:r w:rsidRPr="000A3E5C">
              <w:rPr>
                <w:rFonts w:cstheme="minorHAnsi"/>
                <w:sz w:val="20"/>
                <w:szCs w:val="20"/>
              </w:rPr>
              <w:t xml:space="preserve"> στην εκπαίδευση και κατάρτιση</w:t>
            </w:r>
          </w:p>
        </w:tc>
        <w:tc>
          <w:tcPr>
            <w:tcW w:w="946" w:type="pct"/>
            <w:vAlign w:val="center"/>
          </w:tcPr>
          <w:p w14:paraId="0BAB8365" w14:textId="612DC5A5" w:rsidR="000A3E5C" w:rsidRPr="000A3E5C" w:rsidRDefault="000A3E5C" w:rsidP="00082096">
            <w:pPr>
              <w:rPr>
                <w:rFonts w:cstheme="minorHAnsi"/>
                <w:sz w:val="20"/>
                <w:szCs w:val="20"/>
              </w:rPr>
            </w:pPr>
            <w:r w:rsidRPr="000A3E5C">
              <w:rPr>
                <w:rFonts w:cstheme="minorHAnsi"/>
                <w:sz w:val="20"/>
                <w:szCs w:val="20"/>
              </w:rPr>
              <w:t>Ο ιδανικός υποψήφιος Διδάκτορας έχει προηγούμενες Παιδαγωγικές σπουδές, ενώ τυχόν δημοσιεύσεις ή/και ενασχόληση με το σχετικό αντικείμενο θα ληφθούν σοβαρά υπόψη.</w:t>
            </w:r>
          </w:p>
        </w:tc>
      </w:tr>
    </w:tbl>
    <w:p w14:paraId="3E17B21E" w14:textId="77777777" w:rsidR="009E19E5" w:rsidRPr="000A3E5C" w:rsidRDefault="009E19E5"/>
    <w:sectPr w:rsidR="009E19E5" w:rsidRPr="000A3E5C" w:rsidSect="003542A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5F61"/>
    <w:multiLevelType w:val="hybridMultilevel"/>
    <w:tmpl w:val="51128066"/>
    <w:lvl w:ilvl="0" w:tplc="6AAEF352">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4433F"/>
    <w:multiLevelType w:val="hybridMultilevel"/>
    <w:tmpl w:val="069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D4583"/>
    <w:multiLevelType w:val="hybridMultilevel"/>
    <w:tmpl w:val="7F2EA31A"/>
    <w:lvl w:ilvl="0" w:tplc="14D4818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55E38"/>
    <w:multiLevelType w:val="hybridMultilevel"/>
    <w:tmpl w:val="7F2EA31A"/>
    <w:lvl w:ilvl="0" w:tplc="14D4818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C380E"/>
    <w:multiLevelType w:val="hybridMultilevel"/>
    <w:tmpl w:val="6156A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B825171"/>
    <w:multiLevelType w:val="hybridMultilevel"/>
    <w:tmpl w:val="D3B41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93606095">
    <w:abstractNumId w:val="1"/>
  </w:num>
  <w:num w:numId="2" w16cid:durableId="1038091088">
    <w:abstractNumId w:val="0"/>
  </w:num>
  <w:num w:numId="3" w16cid:durableId="12266664">
    <w:abstractNumId w:val="4"/>
  </w:num>
  <w:num w:numId="4" w16cid:durableId="679893098">
    <w:abstractNumId w:val="5"/>
  </w:num>
  <w:num w:numId="5" w16cid:durableId="1430807399">
    <w:abstractNumId w:val="3"/>
  </w:num>
  <w:num w:numId="6" w16cid:durableId="164909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E5"/>
    <w:rsid w:val="00082096"/>
    <w:rsid w:val="000A3E5C"/>
    <w:rsid w:val="003542A8"/>
    <w:rsid w:val="00391414"/>
    <w:rsid w:val="005808A4"/>
    <w:rsid w:val="00704F32"/>
    <w:rsid w:val="00800B3E"/>
    <w:rsid w:val="009E19E5"/>
    <w:rsid w:val="00AC35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7B1E"/>
  <w15:chartTrackingRefBased/>
  <w15:docId w15:val="{B1368FCF-4FDA-406B-BD0F-68FFBA28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3542A8"/>
    <w:pPr>
      <w:spacing w:after="0" w:line="240" w:lineRule="auto"/>
      <w:ind w:left="720"/>
      <w:contextualSpacing/>
    </w:pPr>
    <w:rPr>
      <w:rFonts w:ascii="Times New Roman" w:eastAsia="Times New Roman" w:hAnsi="Times New Roman" w:cs="Times New Roman"/>
      <w:sz w:val="24"/>
      <w:szCs w:val="24"/>
      <w:lang w:val="en-US"/>
    </w:rPr>
  </w:style>
  <w:style w:type="paragraph" w:styleId="a4">
    <w:name w:val="Title"/>
    <w:basedOn w:val="a"/>
    <w:link w:val="Char"/>
    <w:qFormat/>
    <w:rsid w:val="00082096"/>
    <w:pPr>
      <w:spacing w:before="240" w:after="0" w:line="240" w:lineRule="auto"/>
      <w:jc w:val="center"/>
    </w:pPr>
    <w:rPr>
      <w:rFonts w:ascii="Times New Roman" w:eastAsia="Times New Roman" w:hAnsi="Times New Roman" w:cs="Times New Roman"/>
      <w:b/>
      <w:bCs/>
      <w:sz w:val="28"/>
      <w:szCs w:val="24"/>
      <w:lang w:val="en-US"/>
    </w:rPr>
  </w:style>
  <w:style w:type="character" w:customStyle="1" w:styleId="Char">
    <w:name w:val="Τίτλος Char"/>
    <w:basedOn w:val="a0"/>
    <w:link w:val="a4"/>
    <w:rsid w:val="00082096"/>
    <w:rPr>
      <w:rFonts w:ascii="Times New Roman" w:eastAsia="Times New Roman" w:hAnsi="Times New Roman"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8917</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dell_grami5</dc:creator>
  <cp:keywords/>
  <dc:description/>
  <cp:lastModifiedBy>ioannis paliokas</cp:lastModifiedBy>
  <cp:revision>2</cp:revision>
  <dcterms:created xsi:type="dcterms:W3CDTF">2025-01-29T12:55:00Z</dcterms:created>
  <dcterms:modified xsi:type="dcterms:W3CDTF">2025-01-29T12:55:00Z</dcterms:modified>
</cp:coreProperties>
</file>